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pStyle w:val="193"/>
        <w:rPr>
          <w:sz w:val="24"/>
          <w:lang w:val="pt-BR"/>
        </w:rPr>
      </w:pPr>
      <w:r>
        <w:rPr>
          <w:sz w:val="24"/>
          <w:lang w:val="pt-BR"/>
        </w:rPr>
        <w:t xml:space="preserve">AS COMUNIDADES DE PRÁTICA E A PRÁTICA EDUCACIONAL </w:t>
      </w:r>
      <w:r/>
      <w:r>
        <w:rPr>
          <w:sz w:val="24"/>
          <w:lang w:val="pt-BR"/>
        </w:rPr>
      </w:r>
      <w:r/>
    </w:p>
    <w:p>
      <w:pPr>
        <w:pStyle w:val="193"/>
      </w:pPr>
      <w:r>
        <w:rPr>
          <w:sz w:val="24"/>
          <w:lang w:val="pt-BR"/>
        </w:rPr>
      </w:r>
      <w:r>
        <w:rPr>
          <w:sz w:val="24"/>
          <w:lang w:val="pt-BR"/>
        </w:rPr>
      </w:r>
    </w:p>
    <w:p>
      <w:pPr>
        <w:pStyle w:val="143"/>
        <w:jc w:val="center"/>
        <w:spacing w:lineRule="auto" w:line="240" w:after="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Fonts w:ascii="Arial" w:hAnsi="Arial" w:eastAsia="Times New Roman"/>
          <w:i/>
          <w:sz w:val="24"/>
          <w:szCs w:val="24"/>
          <w:lang w:val="en-US" w:eastAsia="pt-BR"/>
        </w:rPr>
        <w:t xml:space="preserve">COMMUNITIES OF PRACTICE</w:t>
      </w:r>
      <w:r>
        <w:rPr>
          <w:rFonts w:ascii="Arial" w:hAnsi="Arial" w:eastAsia="Times New Roman"/>
          <w:i/>
          <w:sz w:val="24"/>
          <w:szCs w:val="24"/>
          <w:lang w:val="pt-BR"/>
        </w:rPr>
        <w:t xml:space="preserve"> AND</w:t>
      </w:r>
      <w:r>
        <w:rPr>
          <w:rFonts w:ascii="Arial" w:hAnsi="Arial" w:eastAsia="Times New Roman"/>
          <w:i/>
          <w:sz w:val="24"/>
          <w:szCs w:val="24"/>
          <w:lang w:val="en-US" w:eastAsia="pt-BR"/>
        </w:rPr>
        <w:t xml:space="preserve"> </w:t>
      </w:r>
      <w:r>
        <w:rPr>
          <w:rFonts w:ascii="Arial" w:hAnsi="Arial" w:eastAsia="Times New Roman"/>
          <w:i/>
          <w:sz w:val="24"/>
          <w:szCs w:val="24"/>
          <w:lang w:val="pt-BR"/>
        </w:rPr>
        <w:t xml:space="preserve">THE </w:t>
      </w:r>
      <w:r>
        <w:rPr>
          <w:rFonts w:ascii="Arial" w:hAnsi="Arial" w:eastAsia="Times New Roman"/>
          <w:i/>
          <w:sz w:val="24"/>
          <w:szCs w:val="24"/>
          <w:lang w:val="en-US" w:eastAsia="pt-BR"/>
        </w:rPr>
        <w:t xml:space="preserve">EDUCATIONAL PRACTICE</w:t>
      </w:r>
      <w:r>
        <w:rPr>
          <w:lang w:val="en-US"/>
        </w:rPr>
      </w:r>
      <w:r/>
    </w:p>
    <w:p>
      <w:pPr>
        <w:pStyle w:val="143"/>
        <w:spacing w:lineRule="auto" w:line="240" w:after="0"/>
        <w:rPr>
          <w:rFonts w:ascii="Arial" w:hAnsi="Arial" w:eastAsia="Times New Roman"/>
          <w:b/>
          <w:bCs/>
          <w:i/>
          <w:sz w:val="24"/>
          <w:szCs w:val="24"/>
          <w:lang w:val="en-US" w:eastAsia="pt-BR"/>
        </w:rPr>
      </w:pPr>
      <w:r>
        <w:rPr>
          <w:rFonts w:ascii="Arial" w:hAnsi="Arial" w:eastAsia="Times New Roman"/>
          <w:b/>
          <w:bCs/>
          <w:i/>
          <w:sz w:val="24"/>
          <w:szCs w:val="24"/>
          <w:lang w:val="en-US" w:eastAsia="pt-BR"/>
        </w:rPr>
      </w:r>
      <w:r/>
    </w:p>
    <w:p>
      <w:pPr>
        <w:pStyle w:val="143"/>
        <w:jc w:val="right"/>
        <w:spacing w:lineRule="auto" w:line="240" w:after="0"/>
      </w:pPr>
      <w:r>
        <w:rPr>
          <w:rFonts w:ascii="Arial" w:hAnsi="Arial"/>
          <w:bCs/>
          <w:sz w:val="24"/>
          <w:szCs w:val="24"/>
        </w:rPr>
        <w:t xml:space="preserve">Autor (a)</w:t>
      </w:r>
      <w:r>
        <w:rPr>
          <w:rStyle w:val="167"/>
          <w:rFonts w:ascii="Arial" w:hAnsi="Arial"/>
          <w:bCs/>
          <w:sz w:val="24"/>
          <w:szCs w:val="24"/>
        </w:rPr>
        <w:footnoteReference w:id="1"/>
      </w:r>
      <w:r>
        <w:rPr>
          <w:rFonts w:ascii="Arial" w:hAnsi="Arial"/>
          <w:bCs/>
          <w:sz w:val="24"/>
          <w:szCs w:val="24"/>
        </w:rPr>
        <w:t xml:space="preserve"> </w:t>
      </w:r>
      <w:r/>
    </w:p>
    <w:p>
      <w:pPr>
        <w:pStyle w:val="143"/>
        <w:jc w:val="right"/>
        <w:spacing w:lineRule="auto" w:line="240" w:after="0"/>
      </w:pPr>
      <w:r>
        <w:rPr>
          <w:rFonts w:ascii="Arial" w:hAnsi="Arial"/>
          <w:bCs/>
          <w:sz w:val="24"/>
          <w:szCs w:val="24"/>
        </w:rPr>
        <w:t xml:space="preserve">Autor (es)</w:t>
      </w:r>
      <w:r>
        <w:rPr>
          <w:rStyle w:val="167"/>
          <w:rFonts w:ascii="Arial" w:hAnsi="Arial"/>
          <w:bCs/>
          <w:sz w:val="24"/>
          <w:szCs w:val="24"/>
        </w:rPr>
        <w:footnoteReference w:id="2"/>
      </w:r>
      <w:r>
        <w:rPr>
          <w:rFonts w:ascii="Arial" w:hAnsi="Arial"/>
          <w:bCs/>
          <w:sz w:val="24"/>
          <w:szCs w:val="24"/>
        </w:rPr>
        <w:t xml:space="preserve"> </w:t>
      </w:r>
      <w:r/>
    </w:p>
    <w:p>
      <w:pPr>
        <w:pStyle w:val="143"/>
        <w:jc w:val="right"/>
        <w:spacing w:lineRule="auto" w:line="240" w:after="0"/>
      </w:pPr>
      <w:r>
        <w:rPr>
          <w:rFonts w:ascii="Arial" w:hAnsi="Arial"/>
          <w:bCs/>
          <w:sz w:val="24"/>
          <w:szCs w:val="24"/>
        </w:rPr>
        <w:t xml:space="preserve">Autor (es)</w:t>
      </w:r>
      <w:r>
        <w:rPr>
          <w:rStyle w:val="167"/>
          <w:rFonts w:ascii="Arial" w:hAnsi="Arial"/>
          <w:bCs/>
          <w:sz w:val="24"/>
          <w:szCs w:val="24"/>
        </w:rPr>
        <w:footnoteReference w:id="3"/>
      </w:r>
      <w:r>
        <w:rPr>
          <w:rFonts w:ascii="Arial" w:hAnsi="Arial"/>
          <w:bCs/>
          <w:sz w:val="24"/>
          <w:szCs w:val="24"/>
        </w:rPr>
        <w:t xml:space="preserve"> </w:t>
      </w:r>
      <w:r/>
    </w:p>
    <w:p>
      <w:pPr>
        <w:pStyle w:val="143"/>
        <w:jc w:val="right"/>
        <w:spacing w:lineRule="auto" w:line="240" w:after="0"/>
        <w:rPr>
          <w:rFonts w:ascii="Arial" w:hAnsi="Arial"/>
          <w:bCs/>
          <w:sz w:val="24"/>
          <w:szCs w:val="24"/>
        </w:rPr>
      </w:pPr>
      <w:r>
        <w:rPr>
          <w:rFonts w:ascii="Arial" w:hAnsi="Arial"/>
          <w:bCs/>
          <w:sz w:val="24"/>
          <w:szCs w:val="24"/>
        </w:rPr>
      </w:r>
      <w:r/>
    </w:p>
    <w:p>
      <w:pPr>
        <w:pStyle w:val="143"/>
        <w:jc w:val="right"/>
        <w:spacing w:lineRule="auto" w:line="240" w:after="0"/>
        <w:rPr>
          <w:rFonts w:ascii="Arial" w:hAnsi="Arial"/>
          <w:bCs/>
          <w:sz w:val="24"/>
          <w:szCs w:val="24"/>
        </w:rPr>
      </w:pPr>
      <w:r>
        <w:rPr>
          <w:rFonts w:ascii="Arial" w:hAnsi="Arial"/>
          <w:bCs/>
          <w:sz w:val="24"/>
          <w:szCs w:val="24"/>
        </w:rPr>
      </w:r>
      <w:r/>
    </w:p>
    <w:p>
      <w:pPr>
        <w:pStyle w:val="143"/>
        <w:jc w:val="both"/>
        <w:spacing w:lineRule="auto" w:line="240" w:after="0"/>
        <w:rPr>
          <w:rFonts w:ascii="Arial" w:hAnsi="Arial" w:eastAsia="Times New Roman"/>
          <w:sz w:val="24"/>
          <w:szCs w:val="24"/>
          <w:lang w:eastAsia="pt-BR"/>
        </w:rPr>
      </w:pPr>
      <w:r>
        <w:rPr>
          <w:rFonts w:ascii="Arial" w:hAnsi="Arial"/>
          <w:b/>
          <w:sz w:val="20"/>
          <w:szCs w:val="20"/>
        </w:rPr>
        <w:t xml:space="preserve">Resumo</w:t>
      </w:r>
      <w:r>
        <w:rPr>
          <w:rFonts w:ascii="Arial" w:hAnsi="Arial"/>
          <w:sz w:val="20"/>
          <w:szCs w:val="20"/>
        </w:rPr>
        <w:t xml:space="preserve">: Para a abordagem Histórico-Cultural de Vygotsky, a essência humana, construída no social, é </w:t>
      </w:r>
      <w:r>
        <w:rPr>
          <w:rFonts w:ascii="Arial" w:hAnsi="Arial"/>
          <w:bCs/>
          <w:sz w:val="20"/>
          <w:szCs w:val="20"/>
        </w:rPr>
        <w:t xml:space="preserve">resultante de práticas sociais</w:t>
      </w:r>
      <w:r>
        <w:rPr>
          <w:rFonts w:ascii="Arial" w:hAnsi="Arial"/>
          <w:sz w:val="20"/>
          <w:szCs w:val="20"/>
        </w:rPr>
        <w:t xml:space="preserve">. Isso significa dizer que não há atividade em isolamento, ela só se realiza no coletivo e por meio da comunicação. Tais pressupostos apoiam as práticas educativas da Educação Profissional e Tecnológica (EPT) no Brasil</w:t>
      </w:r>
      <w:r>
        <w:rPr>
          <w:rFonts w:ascii="Arial" w:hAnsi="Arial"/>
          <w:sz w:val="20"/>
          <w:szCs w:val="20"/>
          <w:lang w:eastAsia="pt-BR"/>
        </w:rPr>
        <w:t xml:space="preserve">, pela unidade entre teoria e prática a fim de tornar o trabalho uma atividade criadora e fundamental ao ser humano, superando a dualidade cultura geral e técnica. O</w:t>
      </w:r>
      <w:r>
        <w:rPr>
          <w:rFonts w:ascii="Arial" w:hAnsi="Arial"/>
          <w:sz w:val="20"/>
          <w:szCs w:val="20"/>
        </w:rPr>
        <w:t xml:space="preserve"> </w:t>
      </w:r>
      <w:r>
        <w:rPr>
          <w:rFonts w:ascii="Arial" w:hAnsi="Arial"/>
          <w:sz w:val="20"/>
          <w:szCs w:val="20"/>
          <w:lang w:eastAsia="pt-BR"/>
        </w:rPr>
        <w:t xml:space="preserve">Documento Base de 2007, que declara as diretrizes dos </w:t>
      </w:r>
      <w:r>
        <w:rPr>
          <w:rFonts w:ascii="Arial" w:hAnsi="Arial"/>
          <w:sz w:val="20"/>
          <w:szCs w:val="20"/>
        </w:rPr>
        <w:t xml:space="preserve">Institutos Federais, </w:t>
      </w:r>
      <w:r>
        <w:rPr>
          <w:rFonts w:ascii="Arial" w:hAnsi="Arial"/>
          <w:sz w:val="20"/>
          <w:szCs w:val="20"/>
          <w:lang w:eastAsia="pt-BR"/>
        </w:rPr>
        <w:t xml:space="preserve">alerta para a necessidade de formação docente em EPT, pois, via de regra, a formação dos professores no Brasil têm origem propedêutica. A fim de contribuir para a mudança dessa realidade, o Instituto Federal do Paraná oferta o Mestrado Profissional </w:t>
      </w:r>
      <w:r>
        <w:rPr>
          <w:rFonts w:ascii="Arial" w:hAnsi="Arial" w:eastAsia="Times New Roman"/>
          <w:sz w:val="20"/>
          <w:szCs w:val="20"/>
        </w:rPr>
        <w:t xml:space="preserve">em Educação Profissional e Tecnológica</w:t>
      </w:r>
      <w:r>
        <w:rPr>
          <w:rFonts w:ascii="Arial" w:hAnsi="Arial"/>
          <w:sz w:val="20"/>
          <w:szCs w:val="20"/>
          <w:lang w:eastAsia="pt-BR"/>
        </w:rPr>
        <w:t xml:space="preserve"> (ProfEPT), buscando atender ao pressuposto de que o </w:t>
      </w:r>
      <w:r>
        <w:rPr>
          <w:rFonts w:ascii="Arial" w:hAnsi="Arial"/>
          <w:sz w:val="20"/>
          <w:szCs w:val="20"/>
        </w:rPr>
        <w:t xml:space="preserve">processo ensino-aprendizagem deve ser organizado a partir dos conhecimentos formais (currículo) e dos informais, oriundos da prática social</w:t>
      </w:r>
      <w:r>
        <w:rPr>
          <w:rFonts w:ascii="Arial" w:hAnsi="Arial" w:eastAsia="Arial"/>
          <w:sz w:val="20"/>
          <w:szCs w:val="20"/>
          <w:highlight w:val="white"/>
        </w:rPr>
        <w:t xml:space="preserve"> que considera o trabalho como princípio</w:t>
      </w:r>
      <w:r>
        <w:rPr>
          <w:rFonts w:ascii="Arial" w:hAnsi="Arial"/>
          <w:sz w:val="20"/>
          <w:szCs w:val="20"/>
          <w:lang w:eastAsia="pt-BR"/>
        </w:rPr>
        <w:t xml:space="preserve">. Mas, afinal, </w:t>
      </w:r>
      <w:r>
        <w:rPr>
          <w:rFonts w:ascii="Arial" w:hAnsi="Arial"/>
          <w:sz w:val="20"/>
          <w:szCs w:val="20"/>
          <w:lang w:eastAsia="en-US"/>
        </w:rPr>
        <w:t xml:space="preserve">o</w:t>
      </w:r>
      <w:r>
        <w:rPr>
          <w:rFonts w:ascii="Arial" w:hAnsi="Arial"/>
          <w:sz w:val="20"/>
          <w:szCs w:val="20"/>
        </w:rPr>
        <w:t xml:space="preserve"> que são práticas educativas na EPT?</w:t>
      </w:r>
      <w:r>
        <w:rPr>
          <w:rFonts w:ascii="Arial" w:hAnsi="Arial"/>
          <w:i/>
          <w:sz w:val="20"/>
          <w:szCs w:val="20"/>
        </w:rPr>
        <w:t xml:space="preserve"> </w:t>
      </w:r>
      <w:r>
        <w:rPr>
          <w:rFonts w:ascii="Arial" w:hAnsi="Arial" w:eastAsia="Times New Roman"/>
          <w:sz w:val="20"/>
          <w:szCs w:val="20"/>
        </w:rPr>
        <w:t xml:space="preserve">O presente estudo tem por objetivo refletir sobre os conceitos dessa Prática Educativa sob a perspectiva da Teoria da Aprendizagem Social de Ettiene Wenger que cunhou o</w:t>
      </w:r>
      <w:r>
        <w:rPr>
          <w:rFonts w:ascii="Arial" w:hAnsi="Arial"/>
          <w:sz w:val="20"/>
          <w:szCs w:val="20"/>
        </w:rPr>
        <w:t xml:space="preserve"> conceito de Comunidades de Prática na busca por explicar o caráter social da aprendizagem humana</w:t>
      </w:r>
      <w:r>
        <w:rPr>
          <w:rFonts w:ascii="Arial" w:hAnsi="Arial" w:eastAsia="Times New Roman"/>
          <w:sz w:val="20"/>
          <w:szCs w:val="20"/>
        </w:rPr>
        <w:t xml:space="preserve">. A metodologia utilizada foi um estudo bibliográfico aliado à experiência da prática adotada na disciplina de Práticas Educativas. Os resultados mostram uma prática educativa que pode ser definida como facilitadora da participação do sujeito ativo nas comunidades sociais, permitindo sua interação por meio de atividades que possuam em si, um significado social, possibilitando a construção de</w:t>
      </w:r>
      <w:r>
        <w:rPr>
          <w:rFonts w:ascii="Arial" w:hAnsi="Arial" w:eastAsia="Arial"/>
          <w:sz w:val="20"/>
          <w:szCs w:val="20"/>
        </w:rPr>
        <w:t xml:space="preserve"> identidades, o sentimento de pertencimento, moldando o fazer e o ser, interpretando e compreendendo aquilo que faz</w:t>
      </w:r>
      <w:r>
        <w:rPr>
          <w:rFonts w:ascii="Arial" w:hAnsi="Arial" w:eastAsia="Times New Roman"/>
          <w:sz w:val="24"/>
          <w:szCs w:val="24"/>
          <w:lang w:eastAsia="pt-BR"/>
        </w:rPr>
      </w:r>
      <w:r/>
    </w:p>
    <w:p>
      <w:pPr>
        <w:pStyle w:val="194"/>
        <w:rPr>
          <w:sz w:val="20"/>
          <w:szCs w:val="20"/>
          <w:lang w:val="pt-BR"/>
        </w:rPr>
      </w:pPr>
      <w:r>
        <w:rPr>
          <w:sz w:val="20"/>
          <w:szCs w:val="20"/>
          <w:lang w:val="pt-BR"/>
        </w:rPr>
      </w:r>
      <w:r/>
    </w:p>
    <w:p>
      <w:pPr>
        <w:pStyle w:val="194"/>
        <w:rPr>
          <w:sz w:val="20"/>
          <w:szCs w:val="20"/>
          <w:lang w:val="pt-BR"/>
        </w:rPr>
      </w:pPr>
      <w:r>
        <w:rPr>
          <w:b/>
          <w:sz w:val="20"/>
          <w:szCs w:val="20"/>
          <w:lang w:val="pt-BR"/>
        </w:rPr>
        <w:t xml:space="preserve">Palavras-chave</w:t>
      </w:r>
      <w:r>
        <w:rPr>
          <w:sz w:val="20"/>
          <w:szCs w:val="20"/>
          <w:lang w:val="pt-BR"/>
        </w:rPr>
        <w:t xml:space="preserve">: prática; prática educativa; aprendizagem; social; comunidades.</w:t>
      </w:r>
      <w:r/>
    </w:p>
    <w:p>
      <w:pPr>
        <w:pStyle w:val="194"/>
        <w:rPr>
          <w:sz w:val="20"/>
          <w:szCs w:val="20"/>
          <w:lang w:val="pt-BR"/>
        </w:rPr>
      </w:pPr>
      <w:r>
        <w:rPr>
          <w:sz w:val="20"/>
          <w:szCs w:val="20"/>
          <w:lang w:val="pt-BR"/>
        </w:rPr>
      </w:r>
      <w:r/>
    </w:p>
    <w:p>
      <w:pPr>
        <w:pStyle w:val="199"/>
        <w:jc w:val="both"/>
        <w:rPr>
          <w:rFonts w:ascii="Arial" w:hAnsi="Arial"/>
          <w:lang w:val="en-US" w:eastAsia="pt-BR"/>
        </w:rPr>
      </w:pPr>
      <w:r>
        <w:rPr>
          <w:rFonts w:ascii="Arial" w:hAnsi="Arial"/>
          <w:b/>
          <w:lang w:val="en-US" w:eastAsia="pt-BR"/>
        </w:rPr>
        <w:t xml:space="preserve">Abstract:</w:t>
      </w:r>
      <w:r>
        <w:rPr>
          <w:rFonts w:ascii="Arial" w:hAnsi="Arial"/>
          <w:lang w:val="en-US" w:eastAsia="pt-BR"/>
        </w:rPr>
        <w:t xml:space="preserve"> For Vygotsky's Historical-Cultural Approach, the human essence, built on the social, is the result of social practices. This means that there is no activity in isolation, it only takes place in the collective and through communication. Such assumptions support the educational practices of Vocational and Technological Education (EFA) in Brazil, by the unity between theory and practice in order to make work a creative and fundamental activity for the human being, surpassing the duality of general and technical culture. The 2007 Base Document, which states the guidelines of the Federal Institutes, warns of the need for teacher training in EFA, since, as a rule, teacher training in Brazil </w:t>
      </w:r>
      <w:r>
        <w:rPr>
          <w:rFonts w:ascii="Arial" w:hAnsi="Arial"/>
          <w:lang w:val="en-US" w:eastAsia="pt-BR"/>
        </w:rPr>
        <w:t xml:space="preserve">has a propaedeutic origin.</w:t>
      </w:r>
      <w:r>
        <w:rPr>
          <w:rFonts w:ascii="Arial" w:hAnsi="Arial"/>
          <w:lang w:val="en-US" w:eastAsia="pt-BR"/>
        </w:rPr>
        <w:t xml:space="preserve"> </w:t>
      </w:r>
      <w:r>
        <w:rPr>
          <w:rFonts w:ascii="Arial" w:hAnsi="Arial"/>
          <w:lang w:val="en-US" w:eastAsia="pt-BR"/>
        </w:rPr>
        <w:t xml:space="preserve">In order to contribute to the change of this reality, the Federal Institute of Paraná offers the Professional Master's Degree in Professional and Technological Education (ProfEPT), </w:t>
      </w:r>
      <w:r>
        <w:rPr>
          <w:rFonts w:ascii="Arial" w:hAnsi="Arial"/>
          <w:lang w:val="en-US" w:eastAsia="pt-BR"/>
        </w:rPr>
        <w:t xml:space="preserve">seeking to meet the assumption that the</w:t>
      </w:r>
      <w:r>
        <w:rPr>
          <w:rFonts w:ascii="Arial" w:hAnsi="Arial"/>
          <w:lang w:val="en-US" w:eastAsia="pt-BR"/>
        </w:rPr>
        <w:t xml:space="preserve"> </w:t>
      </w:r>
      <w:r>
        <w:rPr>
          <w:rFonts w:ascii="Arial" w:hAnsi="Arial"/>
          <w:lang w:val="en-US" w:eastAsia="pt-BR"/>
        </w:rPr>
        <w:t xml:space="preserve">teaching-learning process should be organized from formal (curriculum) and informal of social practice that considers work as a principle. But what, after all, are educational practices at EPT? The present study aims to reflect on the concepts of this Educational Practice from the perspective of Ettiene Wenger's Theory of Social Learning, which coined the concept of Communities of Practice in the quest to explain the social character of human learning. The methodology used was a bibliographic study allied to the experience of the practice adopted in the discipline of Educational Practices. The results show an educational practice that can be defined as facilitating the participation of the active subject in the social communities, allowing their interaction through activities that have in themselves a social meaning, enabling the construction of identities, the feeling of belonging, shaping the doing and being, interpreting and understanding what you do.</w:t>
      </w:r>
      <w:r/>
    </w:p>
    <w:p>
      <w:pPr>
        <w:pStyle w:val="143"/>
        <w:jc w:val="both"/>
        <w:spacing w:lineRule="auto" w:line="240" w:after="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eastAsia="Times New Roman"/>
          <w:sz w:val="20"/>
          <w:szCs w:val="20"/>
          <w:lang w:val="en-US" w:eastAsia="pt-BR"/>
        </w:rPr>
      </w:pPr>
      <w:r>
        <w:rPr>
          <w:rFonts w:ascii="Arial" w:hAnsi="Arial" w:eastAsia="Times New Roman"/>
          <w:sz w:val="20"/>
          <w:szCs w:val="20"/>
          <w:lang w:val="en-US" w:eastAsia="pt-BR"/>
        </w:rPr>
      </w:r>
      <w:r/>
    </w:p>
    <w:p>
      <w:pPr>
        <w:pStyle w:val="143"/>
        <w:jc w:val="both"/>
        <w:spacing w:lineRule="auto" w:line="240" w:after="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eastAsia="Times New Roman"/>
          <w:sz w:val="20"/>
          <w:szCs w:val="20"/>
          <w:lang w:val="en-US" w:eastAsia="pt-BR"/>
        </w:rPr>
      </w:pPr>
      <w:r>
        <w:rPr>
          <w:rFonts w:ascii="Arial" w:hAnsi="Arial" w:eastAsia="Times New Roman"/>
          <w:b/>
          <w:sz w:val="20"/>
          <w:szCs w:val="20"/>
          <w:lang w:val="en-US" w:eastAsia="pt-BR"/>
        </w:rPr>
        <w:t xml:space="preserve">Keywords:</w:t>
      </w:r>
      <w:r>
        <w:rPr>
          <w:rFonts w:ascii="Arial" w:hAnsi="Arial" w:eastAsia="Times New Roman"/>
          <w:sz w:val="20"/>
          <w:szCs w:val="20"/>
          <w:lang w:val="en-US" w:eastAsia="pt-BR"/>
        </w:rPr>
        <w:t xml:space="preserve"> practice; educational practice; learning; social; communities.</w:t>
      </w:r>
      <w:r>
        <w:rPr>
          <w:rFonts w:ascii="Arial" w:hAnsi="Arial" w:eastAsia="Times New Roman"/>
          <w:sz w:val="20"/>
          <w:szCs w:val="20"/>
          <w:lang w:val="en-US" w:eastAsia="pt-BR"/>
        </w:rPr>
      </w:r>
      <w:r/>
    </w:p>
    <w:p>
      <w:pPr>
        <w:pStyle w:val="143"/>
        <w:jc w:val="both"/>
        <w:spacing w:lineRule="auto" w:line="240" w:after="0"/>
        <w:rPr>
          <w:lang w:val="en-US"/>
        </w:rPr>
      </w:pPr>
      <w:r>
        <w:rPr>
          <w:lang w:val="en-US"/>
        </w:rPr>
      </w:r>
      <w:r/>
    </w:p>
    <w:p>
      <w:pPr>
        <w:pStyle w:val="143"/>
        <w:spacing w:lineRule="auto" w:line="240" w:after="0"/>
        <w:rPr>
          <w:rFonts w:ascii="Arial" w:hAnsi="Arial"/>
          <w:b/>
          <w:bCs/>
          <w:color w:val="FF0000"/>
          <w:sz w:val="20"/>
          <w:szCs w:val="20"/>
          <w:lang w:val="en-US"/>
        </w:rPr>
      </w:pPr>
      <w:r>
        <w:rPr>
          <w:rFonts w:ascii="Arial" w:hAnsi="Arial"/>
          <w:b/>
          <w:bCs/>
          <w:color w:val="FF0000"/>
          <w:sz w:val="20"/>
          <w:szCs w:val="20"/>
          <w:lang w:val="en-US"/>
        </w:rPr>
      </w:r>
      <w:r/>
    </w:p>
    <w:p>
      <w:pPr>
        <w:pStyle w:val="192"/>
      </w:pPr>
      <w:r>
        <w:t xml:space="preserve">1 INTRODUÇÃO</w:t>
      </w:r>
      <w:r/>
    </w:p>
    <w:p>
      <w:pPr>
        <w:pStyle w:val="194"/>
        <w:ind w:firstLine="708"/>
        <w:rPr>
          <w:lang w:val="pt-BR"/>
        </w:rPr>
      </w:pPr>
      <w:r>
        <w:rPr>
          <w:lang w:val="pt-BR"/>
        </w:rPr>
      </w:r>
      <w:r/>
    </w:p>
    <w:p>
      <w:pPr>
        <w:pStyle w:val="194"/>
        <w:ind w:firstLine="708"/>
      </w:pPr>
      <w:r>
        <w:rPr>
          <w:lang w:val="pt-BR"/>
        </w:rPr>
        <w:t xml:space="preserve">A partir da</w:t>
      </w:r>
      <w:r>
        <w:t xml:space="preserve"> abordagem </w:t>
      </w:r>
      <w:r>
        <w:rPr>
          <w:lang w:val="pt-BR"/>
        </w:rPr>
        <w:t xml:space="preserve">H</w:t>
      </w:r>
      <w:r>
        <w:t xml:space="preserve">istóric</w:t>
      </w:r>
      <w:r>
        <w:rPr>
          <w:lang w:val="pt-BR"/>
        </w:rPr>
        <w:t xml:space="preserve">o-C</w:t>
      </w:r>
      <w:r>
        <w:rPr>
          <w:lang w:val="pt-BR"/>
        </w:rPr>
        <w:t xml:space="preserve">ultural</w:t>
      </w:r>
      <w:r>
        <w:t xml:space="preserve"> compreendida principalmente a partir de Lev Vygotsky,</w:t>
      </w:r>
      <w:r>
        <w:rPr>
          <w:lang w:val="pt-BR"/>
        </w:rPr>
        <w:t xml:space="preserve"> a</w:t>
      </w:r>
      <w:r>
        <w:t xml:space="preserve"> </w:t>
      </w:r>
      <w:r>
        <w:rPr>
          <w:lang w:val="pt-BR"/>
        </w:rPr>
        <w:t xml:space="preserve">essência humana  construída no social é</w:t>
      </w:r>
      <w:r>
        <w:rPr>
          <w:color w:val="000000"/>
          <w:lang w:val="en-US"/>
        </w:rPr>
        <w:t xml:space="preserve"> </w:t>
      </w:r>
      <w:r>
        <w:rPr>
          <w:bCs/>
        </w:rPr>
        <w:t xml:space="preserve">resultante de práticas sociais, </w:t>
      </w:r>
      <w:r>
        <w:rPr>
          <w:color w:val="000000"/>
        </w:rPr>
        <w:t xml:space="preserve">apropriadas das</w:t>
      </w:r>
      <w:r>
        <w:t xml:space="preserve"> experiências sócio-históricas da humanidade, por meio das quais os indivíduos constituem-se como seres humanos (LEONTIEV, 1978).</w:t>
        <w:tab/>
      </w:r>
      <w:r/>
    </w:p>
    <w:p>
      <w:pPr>
        <w:pStyle w:val="143"/>
        <w:ind w:firstLine="680"/>
        <w:jc w:val="both"/>
        <w:spacing w:lineRule="auto" w:line="360" w:after="0"/>
      </w:pPr>
      <w:r>
        <w:rPr>
          <w:rFonts w:ascii="Arial" w:hAnsi="Arial"/>
          <w:sz w:val="24"/>
          <w:szCs w:val="24"/>
        </w:rPr>
        <w:t xml:space="preserve">Isso significa dizer </w:t>
      </w:r>
      <w:r>
        <w:rPr>
          <w:rFonts w:ascii="Arial" w:hAnsi="Arial"/>
          <w:sz w:val="24"/>
          <w:szCs w:val="24"/>
        </w:rPr>
        <w:t xml:space="preserve">que </w:t>
      </w:r>
      <w:r>
        <w:rPr>
          <w:rFonts w:ascii="Arial" w:hAnsi="Arial"/>
          <w:sz w:val="24"/>
          <w:szCs w:val="24"/>
        </w:rPr>
        <w:t xml:space="preserve">não há atividade em isolamento, logo a atividade só existe em um sistema de relações onde estão implicadas as trajetórias de vida, as relações dos membros, as experiências que vão acarretar o pertencimento social e vão definir o indivíduo (PAIXÃO, 2014). Desta forma, os sujeitos em práticas produtivas </w:t>
      </w:r>
      <w:r>
        <w:rPr>
          <w:rFonts w:ascii="Arial" w:hAnsi="Arial"/>
          <w:color w:val="000000"/>
          <w:sz w:val="24"/>
          <w:szCs w:val="24"/>
          <w:shd w:val="clear" w:color="auto" w:fill="FFFFFF"/>
        </w:rPr>
        <w:t xml:space="preserve">são históricos, situados, concretos, marcados por uma cultura, criadores de suas consciências que, ao mesmo tempo produzem e reproduzem a realidade social, ao passo que são produzidos e reproduzidos por ela (FREITAS, 1996).</w:t>
      </w:r>
      <w:r/>
    </w:p>
    <w:p>
      <w:pPr>
        <w:pStyle w:val="143"/>
        <w:ind w:firstLine="680"/>
        <w:jc w:val="both"/>
        <w:spacing w:lineRule="auto" w:line="360" w:after="0"/>
      </w:pPr>
      <w:r>
        <w:rPr>
          <w:rFonts w:ascii="Arial" w:hAnsi="Arial"/>
          <w:sz w:val="24"/>
          <w:szCs w:val="24"/>
        </w:rPr>
        <w:t xml:space="preserve">Nessa abordagem, a atividade humana só se realiza no coletivo e por meio da comunicação. Em Marx (1971) as relações entre os homens é elemento imprescindível para a atividade produtiva em que não há produção pelo indivíduo isolado. </w:t>
      </w:r>
      <w:r>
        <w:rPr>
          <w:rFonts w:ascii="Arial" w:hAnsi="Arial"/>
          <w:sz w:val="24"/>
          <w:szCs w:val="24"/>
          <w:lang w:eastAsia="pt-BR"/>
        </w:rPr>
        <w:t xml:space="preserve">“Homens e mulheres são seres histórico-sociais que atuam no mundo concreto para satisfazerem suas necessidades subjetivas e sociais e, nessa ação, produzem conhecimentos” (BRASIL</w:t>
      </w:r>
      <w:r>
        <w:rPr>
          <w:rFonts w:ascii="Arial" w:hAnsi="Arial"/>
          <w:sz w:val="24"/>
          <w:szCs w:val="24"/>
          <w:lang w:eastAsia="pt-BR"/>
        </w:rPr>
        <w:t xml:space="preserve">, 2007, p. 40</w:t>
      </w:r>
      <w:r>
        <w:rPr>
          <w:rFonts w:ascii="Arial" w:hAnsi="Arial"/>
          <w:sz w:val="24"/>
          <w:szCs w:val="24"/>
          <w:lang w:eastAsia="pt-BR"/>
        </w:rPr>
        <w:t xml:space="preserve">). Portanto, trabalho, ciência e cultura devem estar integrados ao processo formativo dos homens para o exercício da vida produtiva.</w:t>
      </w:r>
      <w:r/>
    </w:p>
    <w:p>
      <w:pPr>
        <w:pStyle w:val="143"/>
        <w:ind w:firstLine="708"/>
        <w:jc w:val="both"/>
        <w:spacing w:lineRule="auto" w:line="360" w:after="0"/>
      </w:pPr>
      <w:r>
        <w:rPr>
          <w:rFonts w:ascii="Arial" w:hAnsi="Arial"/>
          <w:sz w:val="24"/>
          <w:szCs w:val="24"/>
        </w:rPr>
        <w:t xml:space="preserve">Tais pressupostos apoiam as práticas educativas da Educação Profissional e Tecnológica (EPT) no Brasil</w:t>
      </w:r>
      <w:r>
        <w:rPr>
          <w:rFonts w:ascii="Arial" w:hAnsi="Arial"/>
          <w:sz w:val="24"/>
          <w:szCs w:val="24"/>
          <w:lang w:eastAsia="pt-BR"/>
        </w:rPr>
        <w:t xml:space="preserve">, pela unidade entre teoria e prática a fim de tornar o trabalho uma atividade criadora e fundamental ao ser humano, no sentido de uma formação que supere a “dualidade entre cultura geral e cultura técnica e voltada para o domínio dos conhecimentos científicos das diferentes técnicas que caracterizam o processo de trabalho produtivo moderno” (SAVIANI, 2003, p. 140), sendo este o maior desafio da EPT no país. </w:t>
      </w:r>
      <w:r/>
    </w:p>
    <w:p>
      <w:pPr>
        <w:pStyle w:val="143"/>
        <w:ind w:firstLine="709"/>
        <w:jc w:val="both"/>
        <w:spacing w:lineRule="auto" w:line="360" w:after="0"/>
      </w:pPr>
      <w:r>
        <w:rPr>
          <w:rFonts w:ascii="Arial" w:hAnsi="Arial"/>
          <w:sz w:val="24"/>
          <w:szCs w:val="24"/>
          <w:lang w:eastAsia="pt-BR"/>
        </w:rPr>
        <w:t xml:space="preserve">Ademais, o Documento Base (2007) alerta para a necessidade de formação docente em EPT, pois, via de regra, a formação dos professores no Brasil têm origem propedêutica. Ou seja, a formação da carreira docente voltada para a </w:t>
      </w:r>
      <w:r>
        <w:rPr>
          <w:rFonts w:ascii="Arial" w:hAnsi="Arial"/>
          <w:sz w:val="24"/>
          <w:szCs w:val="24"/>
          <w:lang w:eastAsia="pt-BR"/>
        </w:rPr>
        <w:t xml:space="preserve">educação profissional e tecnológica</w:t>
      </w:r>
      <w:r>
        <w:rPr>
          <w:rFonts w:ascii="Arial" w:hAnsi="Arial"/>
          <w:sz w:val="24"/>
          <w:szCs w:val="24"/>
          <w:lang w:eastAsia="pt-BR"/>
        </w:rPr>
        <w:t xml:space="preserve"> deve contemplar estudos sobre as relações entre trabalho e educação, onde o trabalho possua duplo sentido: um ontológico </w:t>
        <w:noBreakHyphen/>
        <w:t xml:space="preserve"> o da práxis humana </w:t>
        <w:noBreakHyphen/>
        <w:t xml:space="preserve"> e um </w:t>
      </w:r>
      <w:r>
        <w:rPr>
          <w:rFonts w:ascii="Arial" w:hAnsi="Arial"/>
          <w:bCs/>
          <w:sz w:val="24"/>
          <w:szCs w:val="24"/>
          <w:lang w:eastAsia="pt-BR"/>
        </w:rPr>
        <w:t xml:space="preserve">histórico</w:t>
      </w:r>
      <w:r>
        <w:rPr>
          <w:rFonts w:ascii="Arial" w:hAnsi="Arial"/>
          <w:sz w:val="24"/>
          <w:szCs w:val="24"/>
          <w:lang w:eastAsia="pt-BR"/>
        </w:rPr>
        <w:t xml:space="preserve"> </w:t>
        <w:noBreakHyphen/>
        <w:t xml:space="preserve"> o de categoria econômica e práxis produtiva.</w:t>
      </w:r>
      <w:r/>
    </w:p>
    <w:p>
      <w:pPr>
        <w:pStyle w:val="143"/>
        <w:ind w:firstLine="708"/>
        <w:jc w:val="both"/>
        <w:spacing w:lineRule="auto" w:line="360" w:after="0"/>
      </w:pPr>
      <w:r>
        <w:rPr>
          <w:rFonts w:ascii="Arial" w:hAnsi="Arial" w:eastAsia="Arial"/>
          <w:sz w:val="24"/>
          <w:szCs w:val="24"/>
          <w:highlight w:val="white"/>
        </w:rPr>
        <w:t xml:space="preserve">Assim, a prática educativa deve considerar o trabalho como princípio educativo a fim de </w:t>
      </w:r>
      <w:r>
        <w:rPr>
          <w:rFonts w:ascii="Arial" w:hAnsi="Arial"/>
          <w:sz w:val="24"/>
          <w:szCs w:val="24"/>
          <w:lang w:eastAsia="pt-BR"/>
        </w:rPr>
        <w:t xml:space="preserve">proporcionar aos sujeitos da aprendizagem a compreensão do processo histórico de produção cie</w:t>
      </w:r>
      <w:r>
        <w:rPr>
          <w:rFonts w:ascii="Arial" w:hAnsi="Arial"/>
          <w:sz w:val="24"/>
          <w:szCs w:val="24"/>
          <w:lang w:eastAsia="pt-BR"/>
        </w:rPr>
        <w:t xml:space="preserve">ntífica, tecnológica e cultural b</w:t>
      </w:r>
      <w:r>
        <w:rPr>
          <w:rFonts w:ascii="Arial" w:hAnsi="Arial"/>
          <w:sz w:val="24"/>
          <w:szCs w:val="24"/>
          <w:lang w:eastAsia="pt-BR"/>
        </w:rPr>
        <w:t xml:space="preserve">em como considerar</w:t>
      </w:r>
      <w:r>
        <w:rPr>
          <w:rFonts w:ascii="Arial" w:hAnsi="Arial" w:eastAsia="Arial"/>
          <w:sz w:val="24"/>
          <w:szCs w:val="24"/>
          <w:highlight w:val="white"/>
        </w:rPr>
        <w:t xml:space="preserve"> a diversidade da</w:t>
      </w:r>
      <w:r>
        <w:rPr>
          <w:rFonts w:ascii="Arial" w:hAnsi="Arial" w:eastAsia="Arial"/>
          <w:sz w:val="24"/>
          <w:szCs w:val="24"/>
        </w:rPr>
        <w:t xml:space="preserve"> composição humana, </w:t>
      </w:r>
      <w:r>
        <w:rPr>
          <w:rFonts w:ascii="Arial" w:hAnsi="Arial"/>
          <w:sz w:val="24"/>
          <w:szCs w:val="24"/>
        </w:rPr>
        <w:t xml:space="preserve">reconhecendo a ativida</w:t>
      </w:r>
      <w:r>
        <w:rPr>
          <w:rFonts w:ascii="Arial" w:hAnsi="Arial"/>
          <w:sz w:val="24"/>
          <w:szCs w:val="24"/>
        </w:rPr>
        <w:t xml:space="preserve">de como critério de verdade, onde </w:t>
      </w:r>
      <w:r>
        <w:rPr>
          <w:rFonts w:ascii="Arial" w:hAnsi="Arial"/>
          <w:sz w:val="24"/>
          <w:szCs w:val="24"/>
        </w:rPr>
        <w:t xml:space="preserve">o mundo só é conhecido, de fato, pela prática</w:t>
      </w:r>
      <w:r>
        <w:rPr>
          <w:rFonts w:ascii="Arial" w:hAnsi="Arial"/>
          <w:sz w:val="24"/>
          <w:szCs w:val="24"/>
        </w:rPr>
        <w:t xml:space="preserve">, pela</w:t>
      </w:r>
      <w:r>
        <w:rPr>
          <w:rFonts w:ascii="Arial" w:hAnsi="Arial"/>
          <w:sz w:val="24"/>
          <w:szCs w:val="24"/>
        </w:rPr>
        <w:t xml:space="preserve"> atividade intencional dos seres humanos que são essencialmente parte do conjunto de relações sociais que mobilizam a atividade e, desta forma, compreendidos como seres sociais, históricos, cujos sentimentos e ideias são construídas socialmente. Não de modo a ignorar a importância da teoria, mas sim, </w:t>
      </w:r>
      <w:r>
        <w:rPr>
          <w:rFonts w:ascii="Arial" w:hAnsi="Arial"/>
          <w:sz w:val="24"/>
          <w:szCs w:val="24"/>
        </w:rPr>
        <w:t xml:space="preserve">compreendendo </w:t>
      </w:r>
      <w:r>
        <w:rPr>
          <w:rFonts w:ascii="Arial" w:hAnsi="Arial"/>
          <w:sz w:val="24"/>
          <w:szCs w:val="24"/>
        </w:rPr>
        <w:t xml:space="preserve">a indissociabilidade entre a teoria e a prática, </w:t>
      </w:r>
      <w:r>
        <w:rPr>
          <w:rFonts w:ascii="Arial" w:hAnsi="Arial"/>
          <w:sz w:val="24"/>
          <w:szCs w:val="24"/>
        </w:rPr>
        <w:t xml:space="preserve">u</w:t>
      </w:r>
      <w:r>
        <w:rPr>
          <w:rFonts w:ascii="Arial" w:hAnsi="Arial"/>
          <w:sz w:val="24"/>
          <w:szCs w:val="24"/>
        </w:rPr>
        <w:t xml:space="preserve">m dos Princípios Basilares da EPT e dos IFs (BRASIL, 2007). </w:t>
      </w:r>
      <w:r/>
    </w:p>
    <w:p>
      <w:pPr>
        <w:pStyle w:val="143"/>
        <w:contextualSpacing w:val="true"/>
        <w:ind w:firstLine="709"/>
        <w:jc w:val="both"/>
        <w:spacing w:lineRule="auto" w:line="360" w:after="0"/>
      </w:pPr>
      <w:r>
        <w:rPr>
          <w:rFonts w:ascii="Arial" w:hAnsi="Arial"/>
          <w:sz w:val="24"/>
          <w:szCs w:val="24"/>
        </w:rPr>
        <w:t xml:space="preserve">Em vista disso, pergunta-se</w:t>
      </w:r>
      <w:r>
        <w:rPr>
          <w:rFonts w:ascii="Arial" w:hAnsi="Arial"/>
          <w:sz w:val="24"/>
          <w:szCs w:val="24"/>
        </w:rPr>
        <w:t xml:space="preserve">: afinal, </w:t>
      </w:r>
      <w:r>
        <w:rPr>
          <w:rFonts w:ascii="Arial" w:hAnsi="Arial"/>
          <w:sz w:val="24"/>
          <w:szCs w:val="24"/>
        </w:rPr>
        <w:t xml:space="preserve">o</w:t>
      </w:r>
      <w:r>
        <w:rPr>
          <w:rFonts w:ascii="Arial" w:hAnsi="Arial"/>
          <w:sz w:val="24"/>
          <w:szCs w:val="24"/>
        </w:rPr>
        <w:t xml:space="preserve"> que são práticas educativas na educação profissional e tecnológica?</w:t>
      </w:r>
      <w:r>
        <w:rPr>
          <w:rFonts w:ascii="Arial" w:hAnsi="Arial"/>
          <w:i/>
          <w:sz w:val="24"/>
          <w:szCs w:val="24"/>
        </w:rPr>
        <w:t xml:space="preserve"> </w:t>
      </w:r>
      <w:r/>
    </w:p>
    <w:p>
      <w:pPr>
        <w:pStyle w:val="194"/>
        <w:ind w:firstLine="708"/>
        <w:rPr>
          <w:rFonts w:eastAsia="Times New Roman"/>
        </w:rPr>
      </w:pPr>
      <w:r>
        <w:rPr>
          <w:rFonts w:eastAsia="Times New Roman"/>
        </w:rPr>
        <w:t xml:space="preserve">O presente estudo</w:t>
      </w:r>
      <w:r>
        <w:rPr>
          <w:rFonts w:eastAsia="Times New Roman"/>
          <w:lang w:val="pt-BR"/>
        </w:rPr>
        <w:t xml:space="preserve"> tem por objetivo </w:t>
      </w:r>
      <w:r>
        <w:rPr>
          <w:rFonts w:eastAsia="Times New Roman"/>
          <w:lang w:val="pt-BR"/>
        </w:rPr>
        <w:t xml:space="preserve">pensar</w:t>
      </w:r>
      <w:r>
        <w:rPr>
          <w:rFonts w:eastAsia="Times New Roman"/>
        </w:rPr>
        <w:t xml:space="preserve"> o conceito de </w:t>
      </w:r>
      <w:r>
        <w:rPr>
          <w:rFonts w:eastAsia="Times New Roman"/>
        </w:rPr>
        <w:t xml:space="preserve">Prática Educativa</w:t>
      </w:r>
      <w:r>
        <w:rPr>
          <w:rFonts w:eastAsia="Times New Roman"/>
          <w:lang w:val="pt-BR"/>
        </w:rPr>
        <w:t xml:space="preserve"> sob a perspectiva da</w:t>
      </w:r>
      <w:r>
        <w:rPr>
          <w:rFonts w:eastAsia="Times New Roman"/>
        </w:rPr>
        <w:t xml:space="preserve"> </w:t>
      </w:r>
      <w:r>
        <w:rPr>
          <w:rFonts w:eastAsia="Times New Roman"/>
          <w:lang w:val="pt-BR"/>
        </w:rPr>
        <w:t xml:space="preserve">T</w:t>
      </w:r>
      <w:r>
        <w:rPr>
          <w:rFonts w:eastAsia="Times New Roman"/>
        </w:rPr>
        <w:t xml:space="preserve">eoria d</w:t>
      </w:r>
      <w:r>
        <w:rPr>
          <w:rFonts w:eastAsia="Times New Roman"/>
          <w:lang w:val="pt-BR"/>
        </w:rPr>
        <w:t xml:space="preserve">a</w:t>
      </w:r>
      <w:r>
        <w:rPr>
          <w:rFonts w:eastAsia="Times New Roman"/>
        </w:rPr>
        <w:t xml:space="preserve"> </w:t>
      </w:r>
      <w:r>
        <w:rPr>
          <w:rFonts w:eastAsia="Times New Roman"/>
          <w:lang w:val="pt-BR"/>
        </w:rPr>
        <w:t xml:space="preserve">A</w:t>
      </w:r>
      <w:r>
        <w:rPr>
          <w:rFonts w:eastAsia="Times New Roman"/>
        </w:rPr>
        <w:t xml:space="preserve">prendizagem </w:t>
      </w:r>
      <w:r>
        <w:rPr>
          <w:rFonts w:eastAsia="Times New Roman"/>
          <w:lang w:val="pt-BR"/>
        </w:rPr>
        <w:t xml:space="preserve">Social </w:t>
      </w:r>
      <w:r>
        <w:rPr>
          <w:rFonts w:eastAsia="Times New Roman"/>
        </w:rPr>
        <w:t xml:space="preserve">de Ettiene Wenger</w:t>
      </w:r>
      <w:r>
        <w:rPr>
          <w:rFonts w:eastAsia="Times New Roman"/>
          <w:lang w:val="pt-BR"/>
        </w:rPr>
        <w:t xml:space="preserve">, </w:t>
      </w:r>
      <w:r>
        <w:rPr>
          <w:rFonts w:eastAsia="Times New Roman"/>
          <w:lang w:val="pt-BR"/>
        </w:rPr>
        <w:t xml:space="preserve">que cunhou o</w:t>
      </w:r>
      <w:r>
        <w:rPr>
          <w:color w:val="000000"/>
        </w:rPr>
        <w:t xml:space="preserve"> conceito de Comunidade</w:t>
      </w:r>
      <w:r>
        <w:rPr>
          <w:color w:val="000000"/>
          <w:lang w:val="pt-BR"/>
        </w:rPr>
        <w:t xml:space="preserve">s</w:t>
      </w:r>
      <w:r>
        <w:rPr>
          <w:color w:val="000000"/>
        </w:rPr>
        <w:t xml:space="preserve"> de Prática</w:t>
      </w:r>
      <w:r>
        <w:rPr>
          <w:color w:val="000000"/>
          <w:lang w:val="pt-BR"/>
        </w:rPr>
        <w:t xml:space="preserve">,</w:t>
      </w:r>
      <w:r>
        <w:rPr>
          <w:color w:val="000000"/>
        </w:rPr>
        <w:t xml:space="preserve"> </w:t>
      </w:r>
      <w:r>
        <w:rPr>
          <w:color w:val="000000"/>
          <w:lang w:val="pt-BR"/>
        </w:rPr>
        <w:t xml:space="preserve">a fim de contribuir com </w:t>
      </w:r>
      <w:r>
        <w:t xml:space="preserve">possibilidades </w:t>
      </w:r>
      <w:r>
        <w:rPr>
          <w:lang w:val="pt-BR"/>
        </w:rPr>
        <w:t xml:space="preserve">de</w:t>
      </w:r>
      <w:r>
        <w:t xml:space="preserve"> preench</w:t>
      </w:r>
      <w:r>
        <w:rPr>
          <w:lang w:val="pt-BR"/>
        </w:rPr>
        <w:t xml:space="preserve">imento d</w:t>
      </w:r>
      <w:r>
        <w:t xml:space="preserve">o vazio</w:t>
      </w:r>
      <w:r>
        <w:t xml:space="preserve"> teórico com os quais docentes </w:t>
      </w:r>
      <w:r>
        <w:t xml:space="preserve">se depara</w:t>
      </w:r>
      <w:r>
        <w:rPr>
          <w:lang w:val="pt-BR"/>
        </w:rPr>
        <w:t xml:space="preserve">m</w:t>
      </w:r>
      <w:r>
        <w:t xml:space="preserve"> na busca por práticas pedagógicas </w:t>
      </w:r>
      <w:r>
        <w:rPr>
          <w:lang w:val="pt-BR"/>
        </w:rPr>
        <w:t xml:space="preserve">na EPT.</w:t>
      </w:r>
      <w:r>
        <w:rPr>
          <w:rFonts w:eastAsia="Times New Roman"/>
        </w:rPr>
        <w:t xml:space="preserve"> </w:t>
      </w:r>
      <w:r>
        <w:rPr>
          <w:lang w:val="pt-BR"/>
        </w:rPr>
        <w:t xml:space="preserve">Justificado</w:t>
      </w:r>
      <w:r>
        <w:t xml:space="preserve"> pela necessidade de reflexão sobre </w:t>
      </w:r>
      <w:r>
        <w:rPr>
          <w:lang w:val="pt-BR"/>
        </w:rPr>
        <w:t xml:space="preserve">metodologias e métodos </w:t>
      </w:r>
      <w:r>
        <w:t xml:space="preserve">para o ensino técnico e tecnológico, </w:t>
      </w:r>
      <w:r>
        <w:rPr>
          <w:lang w:val="pt-BR"/>
        </w:rPr>
        <w:t xml:space="preserve">este pensar utilizou-se da</w:t>
      </w:r>
      <w:r>
        <w:rPr>
          <w:rFonts w:eastAsia="Times New Roman"/>
        </w:rPr>
        <w:t xml:space="preserve"> metodologia </w:t>
      </w:r>
      <w:r>
        <w:rPr>
          <w:rFonts w:eastAsia="Times New Roman"/>
          <w:lang w:val="pt-BR"/>
        </w:rPr>
        <w:t xml:space="preserve">de</w:t>
      </w:r>
      <w:r>
        <w:rPr>
          <w:rFonts w:eastAsia="Times New Roman"/>
          <w:lang w:val="pt-BR"/>
        </w:rPr>
        <w:t xml:space="preserve"> estudo</w:t>
      </w:r>
      <w:r>
        <w:rPr>
          <w:rFonts w:eastAsia="Times New Roman"/>
        </w:rPr>
        <w:t xml:space="preserve"> bibliográfic</w:t>
      </w:r>
      <w:r>
        <w:rPr>
          <w:rFonts w:eastAsia="Times New Roman"/>
          <w:lang w:val="pt-BR"/>
        </w:rPr>
        <w:t xml:space="preserve">o</w:t>
      </w:r>
      <w:r>
        <w:rPr>
          <w:rFonts w:eastAsia="Times New Roman"/>
          <w:lang w:val="pt-BR"/>
        </w:rPr>
        <w:t xml:space="preserve"> </w:t>
      </w:r>
      <w:r>
        <w:rPr>
          <w:rFonts w:eastAsia="Times New Roman"/>
          <w:lang w:val="pt-BR"/>
        </w:rPr>
        <w:t xml:space="preserve">de caráter descritivo </w:t>
      </w:r>
      <w:r>
        <w:rPr>
          <w:rFonts w:eastAsia="Times New Roman"/>
          <w:lang w:val="pt-BR"/>
        </w:rPr>
        <w:t xml:space="preserve">das obras de Wenger</w:t>
      </w:r>
      <w:r>
        <w:rPr>
          <w:rFonts w:eastAsia="Times New Roman"/>
        </w:rPr>
        <w:t xml:space="preserve"> </w:t>
      </w:r>
      <w:r>
        <w:rPr>
          <w:rFonts w:eastAsia="Times New Roman"/>
          <w:lang w:val="pt-BR"/>
        </w:rPr>
        <w:t xml:space="preserve">aliado à</w:t>
      </w:r>
      <w:r>
        <w:rPr>
          <w:rFonts w:eastAsia="Times New Roman"/>
        </w:rPr>
        <w:t xml:space="preserve"> experiência da prática</w:t>
      </w:r>
      <w:r>
        <w:rPr>
          <w:rFonts w:eastAsia="Times New Roman"/>
        </w:rPr>
        <w:t xml:space="preserve"> adotada na disciplina</w:t>
      </w:r>
      <w:r>
        <w:rPr>
          <w:rFonts w:eastAsia="Times New Roman"/>
          <w:lang w:val="pt-BR"/>
        </w:rPr>
        <w:t xml:space="preserve"> de </w:t>
      </w:r>
      <w:r>
        <w:rPr>
          <w:rFonts w:eastAsia="Times New Roman"/>
        </w:rPr>
        <w:t xml:space="preserve">Práticas Educativas</w:t>
      </w:r>
      <w:r>
        <w:rPr>
          <w:rFonts w:eastAsia="Times New Roman"/>
          <w:lang w:val="pt-BR"/>
        </w:rPr>
        <w:t xml:space="preserve"> do ProfEPT - Programa de Mestrado Profissional em Educação Profissional e Tecnológica</w:t>
      </w:r>
      <w:r>
        <w:rPr>
          <w:rFonts w:eastAsia="Times New Roman"/>
        </w:rPr>
        <w:t xml:space="preserve">. </w:t>
      </w:r>
      <w:r/>
      <w:r>
        <w:rPr>
          <w:rFonts w:ascii="Arial" w:hAnsi="Arial"/>
          <w:sz w:val="24"/>
          <w:szCs w:val="24"/>
          <w:lang w:eastAsia="pt-BR"/>
        </w:rPr>
        <w:t xml:space="preserve">O Programa busca </w:t>
      </w:r>
      <w:r>
        <w:rPr>
          <w:rFonts w:ascii="Arial" w:hAnsi="Arial"/>
          <w:sz w:val="24"/>
          <w:szCs w:val="24"/>
          <w:lang w:eastAsia="pt-BR"/>
        </w:rPr>
        <w:t xml:space="preserve">contribuir para a </w:t>
      </w:r>
      <w:r>
        <w:rPr>
          <w:rFonts w:ascii="Arial" w:hAnsi="Arial"/>
          <w:sz w:val="24"/>
          <w:szCs w:val="24"/>
          <w:lang w:eastAsia="pt-BR"/>
        </w:rPr>
        <w:t xml:space="preserve">formação de docentes da </w:t>
      </w:r>
      <w:r>
        <w:rPr>
          <w:rFonts w:ascii="Arial" w:hAnsi="Arial"/>
          <w:sz w:val="24"/>
          <w:szCs w:val="24"/>
          <w:lang w:eastAsia="pt-BR"/>
        </w:rPr>
        <w:t xml:space="preserve">educação profissional e tecnológica </w:t>
      </w:r>
      <w:r>
        <w:rPr>
          <w:rFonts w:ascii="Arial" w:hAnsi="Arial" w:eastAsia="Arial"/>
          <w:sz w:val="24"/>
          <w:szCs w:val="24"/>
        </w:rPr>
        <w:t xml:space="preserve">e declara</w:t>
      </w:r>
      <w:r>
        <w:rPr>
          <w:rFonts w:ascii="Arial" w:hAnsi="Arial" w:eastAsia="Arial"/>
          <w:sz w:val="24"/>
          <w:szCs w:val="24"/>
          <w:highlight w:val="white"/>
        </w:rPr>
        <w:t xml:space="preserve">:</w:t>
      </w:r>
      <w:r/>
      <w:r/>
    </w:p>
    <w:p>
      <w:pPr>
        <w:pStyle w:val="143"/>
        <w:ind w:left="2268"/>
        <w:jc w:val="both"/>
        <w:spacing w:lineRule="auto" w:line="240" w:after="0"/>
        <w:rPr>
          <w:rFonts w:ascii="Arial" w:hAnsi="Arial"/>
        </w:rPr>
      </w:pPr>
      <w:r>
        <w:rPr>
          <w:rFonts w:ascii="Arial" w:hAnsi="Arial"/>
          <w:sz w:val="20"/>
          <w:szCs w:val="20"/>
        </w:rPr>
      </w:r>
      <w:r>
        <w:rPr>
          <w:rFonts w:ascii="Arial" w:hAnsi="Arial"/>
          <w:sz w:val="20"/>
          <w:szCs w:val="20"/>
        </w:rPr>
      </w:r>
      <w:r/>
    </w:p>
    <w:p>
      <w:pPr>
        <w:pStyle w:val="143"/>
        <w:ind w:left="2268"/>
        <w:jc w:val="both"/>
        <w:spacing w:lineRule="auto" w:line="240" w:after="0"/>
      </w:pPr>
      <w:r>
        <w:rPr>
          <w:rFonts w:ascii="Arial" w:hAnsi="Arial"/>
          <w:sz w:val="20"/>
          <w:szCs w:val="20"/>
        </w:rPr>
        <w:t xml:space="preserve">Art. 2º No processo pedagógico, estudantes e docentes são sujeitos ativos, seres humanos históricos, imersos numa cultura, que apresentam características particulares de vida, e devem atuar de forma consciente no processo de ensino-aprendizagem</w:t>
      </w:r>
      <w:r>
        <w:t xml:space="preserve">.</w:t>
      </w:r>
      <w:r/>
      <w:r/>
    </w:p>
    <w:p>
      <w:pPr>
        <w:pStyle w:val="143"/>
        <w:ind w:left="2268"/>
        <w:jc w:val="both"/>
        <w:spacing w:lineRule="auto" w:line="240" w:after="0"/>
      </w:pPr>
      <w:r>
        <w:rPr>
          <w:rFonts w:ascii="Arial" w:hAnsi="Arial"/>
          <w:sz w:val="20"/>
          <w:szCs w:val="20"/>
        </w:rPr>
        <w:t xml:space="preserve">§2º O processo de ensino-aprendizagem deve ser organizado a partir dos conhecimentos formais, prescritos no currículo, e dos informais, oriundos da prática social </w:t>
      </w:r>
      <w:r>
        <w:rPr>
          <w:rFonts w:ascii="Arial" w:hAnsi="Arial"/>
          <w:sz w:val="20"/>
          <w:szCs w:val="20"/>
        </w:rPr>
        <w:t xml:space="preserve">(</w:t>
      </w:r>
      <w:r>
        <w:rPr>
          <w:rFonts w:ascii="Arial" w:hAnsi="Arial" w:eastAsia="Arial"/>
          <w:sz w:val="20"/>
          <w:szCs w:val="24"/>
          <w:highlight w:val="white"/>
        </w:rPr>
        <w:t xml:space="preserve">PORTARIA IFPR 50, 2017</w:t>
      </w:r>
      <w:r>
        <w:rPr>
          <w:rFonts w:ascii="Arial" w:hAnsi="Arial" w:eastAsia="Arial"/>
          <w:sz w:val="20"/>
          <w:szCs w:val="24"/>
        </w:rPr>
        <w:t xml:space="preserve">)</w:t>
      </w:r>
      <w:r>
        <w:rPr>
          <w:rFonts w:ascii="Arial" w:hAnsi="Arial"/>
          <w:sz w:val="20"/>
          <w:szCs w:val="20"/>
        </w:rPr>
        <w:t xml:space="preserve">.</w:t>
      </w:r>
      <w:r/>
      <w:r/>
    </w:p>
    <w:p>
      <w:pPr>
        <w:pStyle w:val="194"/>
        <w:ind w:firstLine="708"/>
      </w:pPr>
      <w:r/>
    </w:p>
    <w:p>
      <w:pPr>
        <w:pStyle w:val="194"/>
        <w:ind w:firstLine="708"/>
        <w:rPr>
          <w:rFonts w:ascii="Roboto-Regular" w:hAnsi="Roboto-Regular"/>
          <w:color w:val="7A7A7A"/>
          <w:shd w:val="clear" w:color="auto" w:fill="FFFFFF"/>
          <w:lang w:val="pt-BR"/>
        </w:rPr>
      </w:pPr>
      <w:r>
        <w:rPr>
          <w:rFonts w:eastAsia="Times New Roman"/>
          <w:lang w:val="pt-BR"/>
        </w:rPr>
        <w:t xml:space="preserve">Frente a este contexto,</w:t>
      </w:r>
      <w:r>
        <w:rPr>
          <w:rFonts w:eastAsia="Times New Roman"/>
          <w:lang w:val="pt-BR"/>
        </w:rPr>
        <w:t xml:space="preserve"> este estudo apresentar inicialmente um</w:t>
      </w:r>
      <w:r>
        <w:rPr>
          <w:rFonts w:eastAsia="Times New Roman"/>
        </w:rPr>
        <w:t xml:space="preserve"> quadro teórico</w:t>
      </w:r>
      <w:r>
        <w:rPr>
          <w:rFonts w:eastAsia="Times New Roman"/>
          <w:lang w:val="pt-BR"/>
        </w:rPr>
        <w:t xml:space="preserve"> que busca definir a</w:t>
      </w:r>
      <w:r>
        <w:rPr>
          <w:rFonts w:eastAsia="Times New Roman"/>
        </w:rPr>
        <w:t xml:space="preserve"> práxis e </w:t>
      </w:r>
      <w:r>
        <w:rPr>
          <w:rFonts w:eastAsia="Times New Roman"/>
          <w:lang w:val="pt-BR"/>
        </w:rPr>
        <w:t xml:space="preserve">a </w:t>
      </w:r>
      <w:r>
        <w:rPr>
          <w:rFonts w:eastAsia="Times New Roman"/>
        </w:rPr>
        <w:t xml:space="preserve">prática educativa adotadas em Gramsci, Paulo Freire e Vygotsky</w:t>
      </w:r>
      <w:r>
        <w:rPr>
          <w:rFonts w:eastAsia="Times New Roman"/>
          <w:lang w:val="pt-BR"/>
        </w:rPr>
        <w:t xml:space="preserve"> (teóricos que suportam as concepões dos institutos federais)</w:t>
      </w:r>
      <w:r>
        <w:rPr>
          <w:rFonts w:eastAsia="Times New Roman"/>
        </w:rPr>
        <w:t xml:space="preserve">, seguido da conexão da prática educativa com a teoria </w:t>
      </w:r>
      <w:r>
        <w:rPr>
          <w:rFonts w:eastAsia="Times New Roman"/>
          <w:lang w:val="pt-BR"/>
        </w:rPr>
        <w:t xml:space="preserve">da Aprendizagem Social </w:t>
      </w:r>
      <w:r>
        <w:rPr>
          <w:rFonts w:eastAsia="Times New Roman"/>
        </w:rPr>
        <w:t xml:space="preserve">de Wenger</w:t>
      </w:r>
      <w:r>
        <w:rPr>
          <w:rFonts w:eastAsia="Times New Roman"/>
          <w:lang w:val="pt-BR"/>
        </w:rPr>
        <w:t xml:space="preserve"> com seu conceito de </w:t>
      </w:r>
      <w:r>
        <w:rPr>
          <w:rFonts w:eastAsia="Times New Roman"/>
        </w:rPr>
        <w:t xml:space="preserve">Comunidades de Prática. </w:t>
      </w:r>
      <w:r>
        <w:rPr>
          <w:rFonts w:eastAsia="Times New Roman"/>
          <w:lang w:val="pt-BR"/>
        </w:rPr>
        <w:t xml:space="preserve">A</w:t>
      </w:r>
      <w:r>
        <w:rPr>
          <w:rFonts w:eastAsia="Times New Roman"/>
        </w:rPr>
        <w:t xml:space="preserve"> relevância </w:t>
      </w:r>
      <w:r>
        <w:rPr>
          <w:rFonts w:eastAsia="Times New Roman"/>
          <w:lang w:val="pt-BR"/>
        </w:rPr>
        <w:t xml:space="preserve">está na busca por</w:t>
      </w:r>
      <w:r>
        <w:rPr>
          <w:rFonts w:eastAsia="Times New Roman"/>
          <w:lang w:val="pt-BR"/>
        </w:rPr>
        <w:t xml:space="preserve"> </w:t>
      </w:r>
      <w:r>
        <w:rPr>
          <w:shd w:val="clear" w:color="auto" w:fill="FFFFFF"/>
        </w:rPr>
        <w:t xml:space="preserve">fundamentos </w:t>
      </w:r>
      <w:r>
        <w:rPr>
          <w:shd w:val="clear" w:color="auto" w:fill="FFFFFF"/>
          <w:lang w:val="pt-BR"/>
        </w:rPr>
        <w:t xml:space="preserve">que subsidiem </w:t>
      </w:r>
      <w:r>
        <w:rPr>
          <w:shd w:val="clear" w:color="auto" w:fill="FFFFFF"/>
          <w:lang w:val="pt-BR"/>
        </w:rPr>
        <w:t xml:space="preserve">uma compreensão</w:t>
      </w:r>
      <w:r>
        <w:rPr>
          <w:shd w:val="clear" w:color="auto" w:fill="FFFFFF"/>
          <w:lang w:val="pt-BR"/>
        </w:rPr>
        <w:t xml:space="preserve"> d</w:t>
      </w:r>
      <w:r>
        <w:rPr>
          <w:shd w:val="clear" w:color="auto" w:fill="FFFFFF"/>
        </w:rPr>
        <w:t xml:space="preserve">a prática </w:t>
      </w:r>
      <w:r>
        <w:rPr>
          <w:shd w:val="clear" w:color="auto" w:fill="FFFFFF"/>
          <w:lang w:val="pt-BR"/>
        </w:rPr>
        <w:t xml:space="preserve">educativa</w:t>
      </w:r>
      <w:r>
        <w:rPr>
          <w:shd w:val="clear" w:color="auto" w:fill="FFFFFF"/>
          <w:lang w:val="pt-BR"/>
        </w:rPr>
        <w:t xml:space="preserve">, </w:t>
      </w:r>
      <w:r>
        <w:rPr>
          <w:shd w:val="clear" w:color="auto" w:fill="FFFFFF"/>
          <w:lang w:val="pt-BR"/>
        </w:rPr>
        <w:t xml:space="preserve">marcada pela colisão de bases epistemológicas</w:t>
      </w:r>
      <w:r>
        <w:rPr>
          <w:shd w:val="clear" w:color="auto" w:fill="FFFFFF"/>
          <w:lang w:val="pt-BR"/>
        </w:rPr>
        <w:t xml:space="preserve">, metodologi</w:t>
      </w:r>
      <w:r>
        <w:rPr>
          <w:shd w:val="clear" w:color="auto" w:fill="FFFFFF"/>
          <w:lang w:val="pt-BR"/>
        </w:rPr>
        <w:t xml:space="preserve">as e métodos</w:t>
      </w:r>
      <w:r>
        <w:rPr>
          <w:shd w:val="clear" w:color="auto" w:fill="FFFFFF"/>
          <w:lang w:val="pt-BR"/>
        </w:rPr>
        <w:t xml:space="preserve">, sob um olhar em consonância com as diretrizes e concepções da EPT</w:t>
      </w:r>
      <w:r>
        <w:rPr>
          <w:shd w:val="clear" w:color="auto" w:fill="FFFFFF"/>
          <w:lang w:val="pt-BR"/>
        </w:rPr>
        <w:t xml:space="preserve">.</w:t>
      </w:r>
      <w:r>
        <w:rPr>
          <w:rFonts w:ascii="Roboto-Regular" w:hAnsi="Roboto-Regular"/>
          <w:color w:val="7A7A7A"/>
          <w:shd w:val="clear" w:color="auto" w:fill="FFFFFF"/>
          <w:lang w:val="pt-BR"/>
        </w:rPr>
      </w:r>
      <w:r/>
    </w:p>
    <w:p>
      <w:pPr>
        <w:pStyle w:val="143"/>
        <w:spacing w:lineRule="auto" w:line="360" w:after="0"/>
        <w:rPr>
          <w:rFonts w:ascii="Arial" w:hAnsi="Arial"/>
          <w:sz w:val="24"/>
          <w:szCs w:val="24"/>
        </w:rPr>
      </w:pPr>
      <w:r>
        <w:rPr>
          <w:rFonts w:ascii="Arial" w:hAnsi="Arial"/>
          <w:sz w:val="24"/>
          <w:szCs w:val="24"/>
        </w:rPr>
      </w:r>
      <w:r/>
    </w:p>
    <w:p>
      <w:pPr>
        <w:pStyle w:val="143"/>
        <w:spacing w:lineRule="auto" w:line="360" w:after="0"/>
        <w:rPr>
          <w:rFonts w:ascii="Arial" w:hAnsi="Arial"/>
          <w:b/>
          <w:sz w:val="24"/>
          <w:szCs w:val="24"/>
        </w:rPr>
      </w:pPr>
      <w:r>
        <w:rPr>
          <w:rFonts w:ascii="Arial" w:hAnsi="Arial"/>
          <w:b/>
          <w:bCs/>
          <w:sz w:val="28"/>
          <w:szCs w:val="24"/>
        </w:rPr>
        <w:t xml:space="preserve">2 </w:t>
      </w:r>
      <w:r>
        <w:rPr>
          <w:rFonts w:ascii="Arial" w:hAnsi="Arial"/>
          <w:b/>
          <w:sz w:val="24"/>
          <w:szCs w:val="24"/>
          <w:shd w:val="clear" w:color="auto" w:fill="FFFFFF"/>
        </w:rPr>
        <w:t xml:space="preserve">UM OLHAR </w:t>
      </w:r>
      <w:r>
        <w:rPr>
          <w:rFonts w:ascii="Arial" w:hAnsi="Arial"/>
          <w:b/>
          <w:sz w:val="24"/>
          <w:szCs w:val="24"/>
          <w:shd w:val="clear" w:color="auto" w:fill="FFFFFF"/>
        </w:rPr>
        <w:t xml:space="preserve">PARA AS</w:t>
      </w:r>
      <w:r>
        <w:rPr>
          <w:rFonts w:ascii="Arial" w:hAnsi="Arial"/>
          <w:b/>
          <w:sz w:val="24"/>
          <w:szCs w:val="24"/>
          <w:shd w:val="clear" w:color="auto" w:fill="FFFFFF"/>
        </w:rPr>
        <w:t xml:space="preserve"> DIRETRIZES E CONCEPÇÕES DA EPT</w:t>
      </w:r>
      <w:r>
        <w:rPr>
          <w:rFonts w:ascii="Arial" w:hAnsi="Arial"/>
          <w:b/>
          <w:sz w:val="24"/>
          <w:szCs w:val="24"/>
        </w:rPr>
      </w:r>
      <w:r/>
    </w:p>
    <w:p>
      <w:pPr>
        <w:pStyle w:val="143"/>
        <w:ind w:firstLine="720"/>
        <w:jc w:val="both"/>
        <w:spacing w:lineRule="auto" w:line="360" w:after="0"/>
      </w:pPr>
      <w:r/>
      <w:r/>
    </w:p>
    <w:p>
      <w:pPr>
        <w:pStyle w:val="143"/>
        <w:ind w:firstLine="720"/>
        <w:jc w:val="both"/>
        <w:spacing w:lineRule="auto" w:line="360" w:after="0"/>
      </w:pPr>
      <w:r>
        <w:rPr>
          <w:rStyle w:val="168"/>
          <w:rFonts w:ascii="Arial" w:hAnsi="Arial"/>
          <w:sz w:val="24"/>
          <w:szCs w:val="24"/>
        </w:rPr>
        <w:t xml:space="preserve">A Educação Profissional e Tecnológica tem como papel a </w:t>
      </w:r>
      <w:r>
        <w:rPr>
          <w:rFonts w:ascii="Arial" w:hAnsi="Arial"/>
          <w:sz w:val="24"/>
          <w:szCs w:val="24"/>
        </w:rPr>
        <w:t xml:space="preserve">rearticulação entre trabalho e educação de forma integrada para uma formação humana integral, nas múltiplas dimensões do trabalho, ciência, cultura e tecnologia.</w:t>
      </w:r>
      <w:r>
        <w:rPr>
          <w:rStyle w:val="168"/>
          <w:rFonts w:ascii="Arial" w:hAnsi="Arial"/>
          <w:sz w:val="24"/>
          <w:szCs w:val="24"/>
        </w:rPr>
        <w:t xml:space="preserve"> Busca explicitar como o conhecimento - potência espiritual - se transforma em potência material no processo produtivo. Desta forma, o</w:t>
      </w:r>
      <w:r>
        <w:rPr>
          <w:rFonts w:ascii="Arial" w:hAnsi="Arial"/>
          <w:sz w:val="24"/>
          <w:szCs w:val="24"/>
        </w:rPr>
        <w:t xml:space="preserve"> trabalho surge como elemento constitutivo do ensino. Para Araújo e Rodrigues (2011, p. 32) é a necessária “integração do trabalho como momento educativo no processo totalmente autônomo e primário do ensino”.</w:t>
      </w:r>
      <w:r/>
    </w:p>
    <w:p>
      <w:pPr>
        <w:pStyle w:val="143"/>
        <w:ind w:firstLine="720"/>
        <w:jc w:val="both"/>
        <w:spacing w:lineRule="auto" w:line="360" w:after="0"/>
      </w:pPr>
      <w:r>
        <w:rPr>
          <w:rFonts w:ascii="Arial" w:hAnsi="Arial"/>
          <w:sz w:val="24"/>
          <w:szCs w:val="24"/>
        </w:rPr>
        <w:t xml:space="preserve">Portanto, sob essa concepção, rompem-se as práticas pedagógicas que intencionam apenas a apreensão de técnicas sem vínculos com o conceito de trabalho. Elas devem inserir os educandos na atividade social (GRAMSCI, 2004), promovendo o domínio dos fundamentos das técnicas diversificadas utilizadas na produção, ou seja, “explicitar como o conhecimento, isto é como a ciência, potência espiritual, se converte em potência material no processo de produção” (SAVIANI, 2007, p. 160).</w:t>
      </w:r>
      <w:r/>
    </w:p>
    <w:p>
      <w:pPr>
        <w:pStyle w:val="143"/>
        <w:ind w:firstLine="708"/>
        <w:jc w:val="both"/>
        <w:spacing w:lineRule="auto" w:line="360" w:after="0"/>
      </w:pPr>
      <w:r>
        <w:rPr>
          <w:rFonts w:ascii="Arial" w:hAnsi="Arial"/>
          <w:sz w:val="24"/>
          <w:szCs w:val="24"/>
        </w:rPr>
        <w:t xml:space="preserve">Pela abordagem </w:t>
      </w:r>
      <w:r>
        <w:rPr>
          <w:rFonts w:ascii="Arial" w:hAnsi="Arial"/>
          <w:sz w:val="24"/>
          <w:szCs w:val="24"/>
        </w:rPr>
        <w:t xml:space="preserve">Histórico-</w:t>
      </w:r>
      <w:r>
        <w:rPr>
          <w:rFonts w:ascii="Arial" w:hAnsi="Arial"/>
          <w:sz w:val="24"/>
          <w:szCs w:val="24"/>
        </w:rPr>
        <w:t xml:space="preserve">C</w:t>
      </w:r>
      <w:r>
        <w:rPr>
          <w:rFonts w:ascii="Arial" w:hAnsi="Arial"/>
          <w:sz w:val="24"/>
          <w:szCs w:val="24"/>
        </w:rPr>
        <w:t xml:space="preserve">ultural</w:t>
      </w:r>
      <w:r>
        <w:t xml:space="preserve"> </w:t>
      </w:r>
      <w:r>
        <w:rPr>
          <w:rFonts w:ascii="Arial" w:hAnsi="Arial"/>
          <w:sz w:val="24"/>
          <w:szCs w:val="24"/>
        </w:rPr>
        <w:t xml:space="preserve">a atividade social</w:t>
      </w:r>
      <w:r>
        <w:rPr>
          <w:rFonts w:ascii="Arial" w:hAnsi="Arial"/>
          <w:sz w:val="24"/>
          <w:szCs w:val="24"/>
        </w:rPr>
        <w:t xml:space="preserve"> </w:t>
      </w:r>
      <w:r>
        <w:rPr>
          <w:rFonts w:ascii="Arial" w:hAnsi="Arial"/>
          <w:sz w:val="24"/>
          <w:szCs w:val="24"/>
        </w:rPr>
        <w:t xml:space="preserve">representa o conceito de prática: </w:t>
      </w:r>
      <w:r>
        <w:rPr>
          <w:rFonts w:ascii="Arial" w:hAnsi="Arial" w:eastAsia="Times New Roman"/>
          <w:sz w:val="24"/>
          <w:szCs w:val="24"/>
        </w:rPr>
        <w:t xml:space="preserve">a </w:t>
      </w:r>
      <w:r>
        <w:rPr>
          <w:rFonts w:ascii="Arial" w:hAnsi="Arial"/>
          <w:sz w:val="24"/>
          <w:szCs w:val="24"/>
          <w:lang w:val="en-US"/>
        </w:rPr>
        <w:t xml:space="preserve">prática como </w:t>
      </w:r>
      <w:r>
        <w:rPr>
          <w:rFonts w:ascii="Arial" w:hAnsi="Arial"/>
          <w:sz w:val="24"/>
          <w:szCs w:val="24"/>
        </w:rPr>
        <w:t xml:space="preserve">atividade orientada. Por meio dela os homens interagem e transformam os objetos materiais e as estruturas. “São atividades individuais e coletivas que se desenrolam no quadro da transformação histórica das formas de interação social” (JAROSZEWSKI, 1980, p. 29). É uma ação que se “realizou no mundo dos fenômenos materiais e que foi elaborado pela consciência que tem a capacidade de refletir essa realidade material” (TRIVINOS, 2006, p. 121). Isso faz da prática o conhecimento acumulado historicamente pelos homens. Portanto, a prática não é uma experiência individual, pois as ideias por si mesmas não são capazes de mudar a realidade material. É pela prática que se transforma a realidade objetiva: é a “transformação ma</w:t>
      </w:r>
      <w:r>
        <w:rPr>
          <w:rFonts w:ascii="Arial" w:hAnsi="Arial"/>
          <w:sz w:val="24"/>
          <w:szCs w:val="24"/>
        </w:rPr>
        <w:t xml:space="preserve">terial do objeto pelo sujeito” </w:t>
      </w:r>
      <w:r>
        <w:rPr>
          <w:rFonts w:ascii="Arial" w:hAnsi="Arial"/>
          <w:sz w:val="24"/>
          <w:szCs w:val="24"/>
        </w:rPr>
        <w:t xml:space="preserve">(WITTICH, 1980, p. 19).</w:t>
      </w:r>
      <w:r/>
    </w:p>
    <w:p>
      <w:pPr>
        <w:pStyle w:val="143"/>
        <w:ind w:firstLine="851"/>
        <w:jc w:val="both"/>
        <w:spacing w:lineRule="auto" w:line="360" w:after="0"/>
      </w:pPr>
      <w:r>
        <w:rPr>
          <w:rFonts w:ascii="Arial" w:hAnsi="Arial" w:eastAsia="Times New Roman"/>
          <w:sz w:val="24"/>
          <w:szCs w:val="24"/>
        </w:rPr>
        <w:t xml:space="preserve">Assim, o conceito de Práxis e</w:t>
      </w:r>
      <w:r>
        <w:rPr>
          <w:rFonts w:ascii="Arial" w:hAnsi="Arial" w:eastAsia="Times New Roman"/>
          <w:sz w:val="24"/>
          <w:szCs w:val="24"/>
        </w:rPr>
        <w:t xml:space="preserve"> Prática Educativa, pela </w:t>
      </w:r>
      <w:r>
        <w:rPr>
          <w:rFonts w:ascii="Arial" w:hAnsi="Arial"/>
          <w:sz w:val="24"/>
          <w:szCs w:val="24"/>
        </w:rPr>
        <w:t xml:space="preserve">perspectiva Histórico-Cultural</w:t>
      </w:r>
      <w:r>
        <w:rPr>
          <w:rFonts w:ascii="Arial" w:hAnsi="Arial"/>
          <w:sz w:val="24"/>
          <w:szCs w:val="24"/>
        </w:rPr>
        <w:t xml:space="preserve">,</w:t>
      </w:r>
      <w:r>
        <w:rPr>
          <w:rFonts w:ascii="Arial" w:hAnsi="Arial"/>
          <w:sz w:val="24"/>
          <w:szCs w:val="24"/>
        </w:rPr>
        <w:t xml:space="preserve"> entende a aprendizagem como aquela que acontece em um contexto social por meio de práticas sociais historicamente desenvolvidas (WENGER, 1998). Ademais, Wenger (2003) defende que a prática se constitui por sujeitos ativos que negociam suas formas de participação, desenvolvendo as próprias histórias que contribuem para a formação de uma prática. A partir desta concepção de práxis, </w:t>
      </w:r>
      <w:r>
        <w:rPr>
          <w:rFonts w:ascii="Arial" w:hAnsi="Arial"/>
          <w:sz w:val="24"/>
          <w:szCs w:val="24"/>
        </w:rPr>
        <w:t xml:space="preserve">como pensar a prática dentro da </w:t>
      </w:r>
      <w:r>
        <w:rPr>
          <w:rFonts w:ascii="Arial" w:hAnsi="Arial"/>
          <w:sz w:val="24"/>
          <w:szCs w:val="24"/>
        </w:rPr>
        <w:t xml:space="preserve">EPT</w:t>
      </w:r>
      <w:r>
        <w:rPr>
          <w:rFonts w:ascii="Arial" w:hAnsi="Arial"/>
          <w:sz w:val="24"/>
          <w:szCs w:val="24"/>
        </w:rPr>
        <w:t xml:space="preserve">?</w:t>
      </w:r>
      <w:r/>
    </w:p>
    <w:p>
      <w:pPr>
        <w:pStyle w:val="143"/>
        <w:jc w:val="both"/>
        <w:spacing w:lineRule="auto" w:line="360" w:after="0"/>
        <w:rPr>
          <w:rFonts w:ascii="Arial" w:hAnsi="Arial" w:eastAsia="Times New Roman"/>
          <w:i/>
          <w:sz w:val="24"/>
          <w:szCs w:val="24"/>
        </w:rPr>
      </w:pPr>
      <w:r>
        <w:rPr>
          <w:rFonts w:ascii="Arial" w:hAnsi="Arial" w:eastAsia="Times New Roman"/>
          <w:i/>
          <w:sz w:val="24"/>
          <w:szCs w:val="24"/>
        </w:rPr>
      </w:r>
      <w:r/>
    </w:p>
    <w:p>
      <w:pPr>
        <w:pStyle w:val="143"/>
        <w:jc w:val="both"/>
        <w:spacing w:lineRule="auto" w:line="360" w:after="0"/>
      </w:pPr>
      <w:r>
        <w:rPr>
          <w:rFonts w:ascii="Arial" w:hAnsi="Arial" w:eastAsia="Times New Roman"/>
          <w:b/>
          <w:sz w:val="24"/>
          <w:szCs w:val="24"/>
        </w:rPr>
        <w:t xml:space="preserve">2.1 A Práxis e a Prática Educativa</w:t>
      </w:r>
      <w:r/>
    </w:p>
    <w:p>
      <w:pPr>
        <w:pStyle w:val="200"/>
        <w:ind w:firstLine="709"/>
        <w:jc w:val="both"/>
        <w:spacing w:lineRule="auto" w:line="360" w:after="0"/>
        <w:rPr>
          <w:rFonts w:ascii="Arial" w:hAnsi="Arial"/>
          <w:sz w:val="24"/>
          <w:szCs w:val="24"/>
        </w:rPr>
      </w:pPr>
      <w:r>
        <w:rPr>
          <w:rFonts w:ascii="Arial" w:hAnsi="Arial"/>
          <w:sz w:val="24"/>
          <w:szCs w:val="24"/>
        </w:rPr>
      </w:r>
      <w:r/>
    </w:p>
    <w:p>
      <w:pPr>
        <w:pStyle w:val="200"/>
        <w:ind w:firstLine="709"/>
        <w:jc w:val="both"/>
        <w:spacing w:lineRule="auto" w:line="360" w:after="0"/>
        <w:rPr>
          <w:rFonts w:ascii="Arial" w:hAnsi="Arial"/>
          <w:sz w:val="24"/>
          <w:szCs w:val="24"/>
        </w:rPr>
      </w:pPr>
      <w:r>
        <w:rPr>
          <w:rFonts w:ascii="Arial" w:hAnsi="Arial"/>
          <w:sz w:val="24"/>
          <w:szCs w:val="24"/>
        </w:rPr>
        <w:t xml:space="preserve">Sabe-se que toda a prática pedagógica está fundamentada em determinados pressupostos teórico-metodológicos. A Educação Profissional e Tecnológica apoia-se na teoria do materialismo histórico de Marx e Engels e no trabalho como princípio educativo, de Gramsci. Temos assim uma prática pedagógica que tem no conceito da práxis uma das suas principais categorias.</w:t>
      </w:r>
      <w:r>
        <w:rPr>
          <w:rFonts w:ascii="Arial" w:hAnsi="Arial"/>
          <w:sz w:val="24"/>
          <w:szCs w:val="24"/>
        </w:rPr>
      </w:r>
      <w:r/>
    </w:p>
    <w:p>
      <w:pPr>
        <w:pStyle w:val="200"/>
        <w:ind w:firstLine="709"/>
        <w:jc w:val="both"/>
        <w:spacing w:lineRule="auto" w:line="360" w:after="0"/>
      </w:pPr>
      <w:r>
        <w:rPr>
          <w:rFonts w:ascii="Arial" w:hAnsi="Arial"/>
          <w:sz w:val="24"/>
          <w:szCs w:val="24"/>
        </w:rPr>
        <w:t xml:space="preserve">Sob essa visão, a práxis é a prática fundamentada teoricamente. A teoria dá sentido à prática e a prática é critério de verdade da primeira,  num movimento dialético e indissociável,  produzindo a práxis, que em Marx é   atividade transformadora que assegura, por meio do diálogo e da colaboração, a relação entre o sujeito, sua historicidade e sua realidade, numa rede de relações culturais (SCHETTINI, 2009). </w:t>
      </w:r>
      <w:r/>
    </w:p>
    <w:p>
      <w:pPr>
        <w:pStyle w:val="200"/>
        <w:ind w:firstLine="851"/>
        <w:jc w:val="both"/>
        <w:spacing w:lineRule="auto" w:line="360" w:after="0"/>
      </w:pPr>
      <w:r>
        <w:rPr>
          <w:rFonts w:ascii="Arial" w:hAnsi="Arial"/>
          <w:sz w:val="24"/>
          <w:szCs w:val="24"/>
        </w:rPr>
        <w:t xml:space="preserve">Pela </w:t>
      </w:r>
      <w:r>
        <w:rPr>
          <w:rFonts w:ascii="Arial" w:hAnsi="Arial" w:eastAsia="Times New Roman"/>
          <w:sz w:val="24"/>
          <w:szCs w:val="24"/>
        </w:rPr>
        <w:t xml:space="preserve">Filosofia da Práxis de Gramsci, a prática é entendida como aquela que une o conteúdo ao método no sentido da formação humanista e emancipatória, tendo o trabalho como princípio educativo (SOBRAL, 2010). </w:t>
      </w:r>
      <w:r>
        <w:rPr>
          <w:rFonts w:ascii="Arial" w:hAnsi="Arial" w:eastAsia="Times New Roman"/>
          <w:sz w:val="24"/>
          <w:szCs w:val="24"/>
        </w:rPr>
        <w:t xml:space="preserve">Já em </w:t>
      </w:r>
      <w:r>
        <w:rPr>
          <w:rFonts w:ascii="Arial" w:hAnsi="Arial" w:eastAsia="Times New Roman"/>
          <w:sz w:val="24"/>
          <w:szCs w:val="24"/>
        </w:rPr>
        <w:t xml:space="preserve">Freire (2002), ao buscar uma educação que seja libertadora, a prática educativa deve ser um ato dialógico entre os sujeitos e do sujeito com o mundo, possibilitando ao sujeito tornar-se consciente de si e do mundo, consciente da condição de ser inacabado, numa relação horizontal entre aluno e professor, transformando a realidade e alcançando a libertação. </w:t>
      </w:r>
      <w:r/>
    </w:p>
    <w:p>
      <w:pPr>
        <w:pStyle w:val="143"/>
        <w:ind w:firstLine="720"/>
        <w:jc w:val="both"/>
        <w:spacing w:lineRule="auto" w:line="360" w:after="0"/>
      </w:pPr>
      <w:r>
        <w:rPr>
          <w:rFonts w:ascii="Arial" w:hAnsi="Arial" w:eastAsia="Times New Roman"/>
          <w:sz w:val="24"/>
          <w:szCs w:val="24"/>
        </w:rPr>
        <w:t xml:space="preserve">Para Vygotsky (2001) a educação libertadora também é destaque, porém, ressalta a necessidade de interação humana, num processo histórico-cultural pelo uso da linguagem - principal elemento mediador. Assim, o mundo do trabalho acontece por meio das práticas, na interação do homem com o mundo, do homem com o homem, formando sua história e cultura. Os autores trazem definições que se aproximam, guardando conceitos específicos acerca de uma mesma Práxis, seja para a libertação, seja para emancipação humana. </w:t>
      </w:r>
      <w:r/>
    </w:p>
    <w:p>
      <w:pPr>
        <w:pStyle w:val="143"/>
        <w:ind w:firstLine="720"/>
        <w:jc w:val="both"/>
        <w:spacing w:lineRule="auto" w:line="360" w:after="0"/>
      </w:pPr>
      <w:r>
        <w:rPr>
          <w:rFonts w:ascii="Arial" w:hAnsi="Arial" w:eastAsia="Times New Roman"/>
          <w:sz w:val="24"/>
          <w:szCs w:val="24"/>
        </w:rPr>
        <w:t xml:space="preserve">Ainda, a prática e</w:t>
      </w:r>
      <w:r>
        <w:rPr>
          <w:rFonts w:ascii="Arial" w:hAnsi="Arial" w:eastAsia="Times New Roman"/>
          <w:sz w:val="24"/>
          <w:szCs w:val="24"/>
        </w:rPr>
        <w:t xml:space="preserve">ducativa também está relacionada ao conceito de aprendizagem que Bernardes (2006) denomina de aprendizagem significativa, aquela em que o aprendizado se produz quando o objeto de estudo agregue um significado, seja no sentido social como também no sentido da própria vida. Assevera que o motivo que traz as ações do educador na atividade de ensino deve corresponder ao motivo que faz com que o estudante tenha uma ação na atividade de aprendizagem: o primeiro ensina o conhecimento elaborad</w:t>
      </w:r>
      <w:r>
        <w:rPr>
          <w:rFonts w:ascii="Arial" w:hAnsi="Arial" w:eastAsia="Times New Roman"/>
          <w:sz w:val="24"/>
          <w:szCs w:val="24"/>
        </w:rPr>
        <w:t xml:space="preserve">o historicamente pela sociedade</w:t>
      </w:r>
      <w:r>
        <w:rPr>
          <w:rFonts w:ascii="Arial" w:hAnsi="Arial" w:eastAsia="Times New Roman"/>
          <w:sz w:val="24"/>
          <w:szCs w:val="24"/>
        </w:rPr>
        <w:t xml:space="preserve"> e o segundo necessita apropriar-se desse conhecimento, isso leva à humanização dos indivíduos na relação com o gênero humano.</w:t>
      </w:r>
      <w:r/>
    </w:p>
    <w:p>
      <w:pPr>
        <w:pStyle w:val="143"/>
        <w:ind w:firstLine="720"/>
        <w:jc w:val="both"/>
        <w:spacing w:lineRule="auto" w:line="360" w:after="0"/>
      </w:pPr>
      <w:r>
        <w:rPr>
          <w:rFonts w:ascii="Arial" w:hAnsi="Arial" w:eastAsia="Times New Roman"/>
          <w:sz w:val="24"/>
          <w:szCs w:val="24"/>
        </w:rPr>
        <w:t xml:space="preserve">Mas como promover a prática educativa no interior da sala de aula?</w:t>
      </w:r>
      <w:r>
        <w:rPr>
          <w:rFonts w:ascii="Arial" w:hAnsi="Arial" w:eastAsia="Times New Roman"/>
          <w:i/>
          <w:sz w:val="24"/>
          <w:szCs w:val="24"/>
        </w:rPr>
        <w:t xml:space="preserve"> </w:t>
      </w:r>
      <w:r>
        <w:rPr>
          <w:rFonts w:ascii="Arial" w:hAnsi="Arial" w:eastAsia="Times New Roman"/>
          <w:sz w:val="24"/>
          <w:szCs w:val="24"/>
        </w:rPr>
        <w:t xml:space="preserve">Dentre muitas teorias existentes, o present</w:t>
      </w:r>
      <w:r>
        <w:rPr>
          <w:rFonts w:ascii="Arial" w:hAnsi="Arial" w:eastAsia="Times New Roman"/>
          <w:sz w:val="24"/>
          <w:szCs w:val="24"/>
        </w:rPr>
        <w:t xml:space="preserve">e estudo trata</w:t>
      </w:r>
      <w:r>
        <w:rPr>
          <w:rFonts w:ascii="Arial" w:hAnsi="Arial" w:eastAsia="Times New Roman"/>
          <w:sz w:val="24"/>
          <w:szCs w:val="24"/>
        </w:rPr>
        <w:t xml:space="preserve"> das Comunidades de Prática (CoP) como uma </w:t>
      </w:r>
      <w:r>
        <w:rPr>
          <w:rFonts w:ascii="Arial" w:hAnsi="Arial" w:eastAsia="Times New Roman"/>
          <w:sz w:val="24"/>
          <w:szCs w:val="24"/>
        </w:rPr>
        <w:t xml:space="preserve">forma</w:t>
      </w:r>
      <w:r>
        <w:rPr>
          <w:rFonts w:ascii="Arial" w:hAnsi="Arial" w:eastAsia="Times New Roman"/>
          <w:sz w:val="24"/>
          <w:szCs w:val="24"/>
        </w:rPr>
        <w:t xml:space="preserve"> de promover a práxis educativa junto aos estudantes e comunidade acadêmica.</w:t>
      </w:r>
      <w:r/>
    </w:p>
    <w:p>
      <w:pPr>
        <w:pStyle w:val="143"/>
        <w:ind w:firstLine="720"/>
        <w:jc w:val="both"/>
        <w:spacing w:lineRule="auto" w:line="360" w:after="0"/>
        <w:rPr>
          <w:rFonts w:ascii="Arial" w:hAnsi="Arial" w:eastAsia="Times New Roman"/>
          <w:color w:val="0000FF"/>
          <w:sz w:val="24"/>
          <w:szCs w:val="24"/>
        </w:rPr>
      </w:pPr>
      <w:r>
        <w:rPr>
          <w:rFonts w:ascii="Arial" w:hAnsi="Arial" w:eastAsia="Times New Roman"/>
          <w:color w:val="0000FF"/>
          <w:sz w:val="24"/>
          <w:szCs w:val="24"/>
        </w:rPr>
      </w:r>
      <w:r/>
    </w:p>
    <w:p>
      <w:pPr>
        <w:pStyle w:val="143"/>
        <w:spacing w:lineRule="auto" w:line="360" w:after="0"/>
      </w:pPr>
      <w:r>
        <w:rPr>
          <w:rFonts w:ascii="Arial" w:hAnsi="Arial" w:eastAsia="Times New Roman"/>
          <w:b/>
          <w:sz w:val="24"/>
          <w:szCs w:val="24"/>
        </w:rPr>
        <w:t xml:space="preserve">2.2 A Prática Educativa em Ettiene Wenger</w:t>
      </w:r>
      <w:r/>
    </w:p>
    <w:p>
      <w:pPr>
        <w:pStyle w:val="143"/>
        <w:ind w:firstLine="720"/>
        <w:jc w:val="both"/>
        <w:spacing w:lineRule="auto" w:line="360" w:after="0"/>
        <w:rPr>
          <w:rFonts w:ascii="Arial" w:hAnsi="Arial" w:eastAsia="Times New Roman"/>
          <w:b/>
          <w:sz w:val="24"/>
          <w:szCs w:val="24"/>
        </w:rPr>
      </w:pPr>
      <w:r>
        <w:rPr>
          <w:rFonts w:ascii="Arial" w:hAnsi="Arial" w:eastAsia="Times New Roman"/>
          <w:b/>
          <w:sz w:val="24"/>
          <w:szCs w:val="24"/>
        </w:rPr>
      </w:r>
      <w:r/>
    </w:p>
    <w:p>
      <w:pPr>
        <w:pStyle w:val="143"/>
        <w:ind w:firstLine="720"/>
        <w:jc w:val="both"/>
        <w:spacing w:lineRule="auto" w:line="360" w:after="0"/>
      </w:pPr>
      <w:r>
        <w:rPr>
          <w:rFonts w:ascii="Arial" w:hAnsi="Arial" w:eastAsia="Times New Roman"/>
          <w:sz w:val="24"/>
          <w:szCs w:val="24"/>
        </w:rPr>
        <w:t xml:space="preserve">Para melhor compreender como a Prática Educativa se efetiva, de fato, vale analisar o conceito das Comunidades de Prática de Etienne Wenger (ILLERIS, 2013), sobretudo pela relevância da abordagem das Teorias de Aprendizagem e suas conexões sociais, ou seja, como as pessoas se organizam o mundo social no qual estão diretamente envolvidas, e nele aprendem mutuamente.</w:t>
      </w:r>
      <w:r/>
    </w:p>
    <w:p>
      <w:pPr>
        <w:pStyle w:val="143"/>
        <w:ind w:firstLine="709"/>
        <w:jc w:val="both"/>
        <w:spacing w:lineRule="auto" w:line="360" w:after="0"/>
      </w:pPr>
      <w:r>
        <w:rPr>
          <w:rFonts w:ascii="Arial" w:hAnsi="Arial" w:eastAsia="Times New Roman"/>
          <w:sz w:val="24"/>
          <w:szCs w:val="24"/>
        </w:rPr>
        <w:t xml:space="preserve">O Doutor Etienne Wenger, Norte-Americano, natural da Suíça,</w:t>
      </w:r>
      <w:r>
        <w:rPr>
          <w:rFonts w:ascii="Arial" w:hAnsi="Arial" w:eastAsia="Times New Roman"/>
          <w:sz w:val="24"/>
          <w:szCs w:val="24"/>
          <w:highlight w:val="white"/>
        </w:rPr>
        <w:t xml:space="preserve"> teve seu trabalho amplamente reconhecido sobretudo, pela abordagem de pesquisa multidisciplinar acerca da natureza das instituições, </w:t>
      </w:r>
      <w:r>
        <w:rPr>
          <w:rFonts w:ascii="Arial" w:hAnsi="Arial" w:eastAsia="Times New Roman"/>
          <w:sz w:val="24"/>
          <w:szCs w:val="24"/>
        </w:rPr>
        <w:t xml:space="preserve">com destaque para as abordagens sobre as práticas de aprendizagem (ILLERIS, 2013).</w:t>
      </w:r>
      <w:r>
        <w:rPr>
          <w:rFonts w:ascii="Arial" w:hAnsi="Arial"/>
          <w:sz w:val="24"/>
          <w:szCs w:val="24"/>
        </w:rPr>
        <w:t xml:space="preserve"> A Teoria Social da Aprendizagem proposta por Etienne Wenger está baseada no conceito de "comunidade de prática". Para ele, a aprendizagem - criação e transmissão de conhecimento - ocorre dentro de grupos sociais que ele denomina comunidades de prática, onde membros são ligados por uma história, interesses comuns e possuem um certo grau de interação (WENGER, 2011).</w:t>
      </w:r>
      <w:r/>
    </w:p>
    <w:p>
      <w:pPr>
        <w:pStyle w:val="143"/>
        <w:ind w:firstLine="709"/>
        <w:jc w:val="both"/>
        <w:spacing w:lineRule="auto" w:line="360" w:after="0"/>
      </w:pPr>
      <w:r>
        <w:rPr>
          <w:rFonts w:ascii="Arial" w:hAnsi="Arial"/>
          <w:sz w:val="24"/>
          <w:szCs w:val="24"/>
        </w:rPr>
        <w:t xml:space="preserve">Apoiado na visão histórico-cultural, onde a aprendizagem acontece em num contexto social por meio de práticas sociais historicamente desenvolvidas, para Wenger (2011) atividades, tarefas, funções e as compreensões são partes de um sistema de relações onde ganham significado e são socialmente compartilhados, dando lugar às comunidades de prática. </w:t>
      </w:r>
      <w:r/>
    </w:p>
    <w:p>
      <w:pPr>
        <w:pStyle w:val="143"/>
        <w:ind w:firstLine="709"/>
        <w:jc w:val="both"/>
        <w:spacing w:lineRule="auto" w:line="360" w:after="0"/>
      </w:pPr>
      <w:r>
        <w:rPr>
          <w:rFonts w:ascii="Arial" w:hAnsi="Arial"/>
          <w:sz w:val="24"/>
          <w:szCs w:val="24"/>
        </w:rPr>
        <w:t xml:space="preserve">Essas comunidades são constituídas em torno de uma tarefa específica que deve se realizada por seus membros, ligados por uma história, interesses comuns, o que faz com que a aprendizagem e a prática ocorram de forma simultânea, ao que o autor chama de aprendizagem coletiva. Para Etienne Wenger a comunidade de prática é constituída por um conjunto de indivíduos que compartilham um empreendimento comum, é um sujeito coletivo capaz de aprender, que vai compor uma identidade e sentimento de pertença e criar um repertório de recursos simbólicos e materiais.</w:t>
      </w:r>
      <w:r/>
    </w:p>
    <w:p>
      <w:pPr>
        <w:pStyle w:val="143"/>
        <w:ind w:firstLine="860"/>
        <w:jc w:val="both"/>
        <w:spacing w:lineRule="auto" w:line="360" w:after="0"/>
      </w:pPr>
      <w:r>
        <w:rPr>
          <w:rFonts w:ascii="Arial" w:hAnsi="Arial" w:eastAsia="Times New Roman"/>
          <w:sz w:val="24"/>
          <w:szCs w:val="24"/>
        </w:rPr>
        <w:t xml:space="preserve">Tais práticas, em regra, baseiam-se no processo individual de ensino, com começo e fim, separada de outras atividades, composta de testes e exercícios de fixação individuais, fazendo crer que o ato de cooperar é como o ato de colar, num processo de aprendizagem árduo, cansativo e tedioso (ILLERIS, 2013).</w:t>
      </w:r>
      <w:r/>
    </w:p>
    <w:p>
      <w:pPr>
        <w:pStyle w:val="143"/>
        <w:ind w:firstLine="860"/>
        <w:jc w:val="both"/>
        <w:spacing w:lineRule="auto" w:line="360" w:after="0"/>
      </w:pPr>
      <w:r>
        <w:rPr>
          <w:rFonts w:ascii="Arial" w:hAnsi="Arial" w:eastAsia="Times New Roman"/>
          <w:sz w:val="24"/>
          <w:szCs w:val="24"/>
        </w:rPr>
        <w:t xml:space="preserve">Portanto, ganha relevância a perspectiva diferenciada da aprendizagem enquanto experiência de vida e participação no mundo, entendendo que o aprender compõe a natureza humana num fenômeno social fundamental propagado pela capacidade do saber</w:t>
      </w:r>
      <w:r>
        <w:rPr>
          <w:rFonts w:ascii="Arial" w:hAnsi="Arial" w:eastAsia="Times New Roman"/>
          <w:sz w:val="24"/>
          <w:szCs w:val="24"/>
        </w:rPr>
        <w:t xml:space="preserve">: “Que tipo de noção essa perspectiva produziria sobre a maneira como o aprendizado ocorre e o que é necessário para promovê-la?”</w:t>
      </w:r>
      <w:r>
        <w:rPr>
          <w:rFonts w:ascii="Arial" w:hAnsi="Arial" w:eastAsia="Times New Roman"/>
          <w:i/>
          <w:sz w:val="24"/>
          <w:szCs w:val="24"/>
        </w:rPr>
        <w:t xml:space="preserve"> </w:t>
      </w:r>
      <w:r>
        <w:rPr>
          <w:rFonts w:ascii="Arial" w:hAnsi="Arial" w:eastAsia="Times New Roman"/>
          <w:sz w:val="24"/>
          <w:szCs w:val="24"/>
        </w:rPr>
        <w:t xml:space="preserve">(ILLERIS, 2013).</w:t>
      </w:r>
      <w:r/>
    </w:p>
    <w:p>
      <w:pPr>
        <w:pStyle w:val="143"/>
        <w:ind w:firstLine="860"/>
        <w:jc w:val="both"/>
        <w:spacing w:lineRule="auto" w:line="360" w:after="0"/>
      </w:pPr>
      <w:r>
        <w:rPr>
          <w:rFonts w:ascii="Arial" w:hAnsi="Arial" w:eastAsia="Times New Roman"/>
          <w:sz w:val="24"/>
          <w:szCs w:val="24"/>
        </w:rPr>
        <w:t xml:space="preserve">Em uma perspectiva conceitual da Teoria e Prática merecem destaque quatro premissas, enquanto aspectos de maior importância na relação </w:t>
      </w:r>
      <w:r>
        <w:rPr>
          <w:rFonts w:ascii="Arial" w:hAnsi="Arial" w:eastAsia="Times New Roman"/>
          <w:i/>
          <w:sz w:val="24"/>
          <w:szCs w:val="24"/>
        </w:rPr>
        <w:t xml:space="preserve">aprendizado e natureza do conhecimento, do conhecer e dos conhecedores</w:t>
      </w:r>
      <w:r>
        <w:rPr>
          <w:rFonts w:ascii="Arial" w:hAnsi="Arial" w:eastAsia="Times New Roman"/>
          <w:sz w:val="24"/>
          <w:szCs w:val="24"/>
        </w:rPr>
        <w:t xml:space="preserve">, quais sejam: </w:t>
      </w:r>
      <w:r/>
    </w:p>
    <w:p>
      <w:pPr>
        <w:pStyle w:val="143"/>
        <w:jc w:val="both"/>
        <w:spacing w:lineRule="auto" w:line="360" w:after="0"/>
      </w:pPr>
      <w:r>
        <w:rPr>
          <w:rFonts w:ascii="Arial" w:hAnsi="Arial" w:eastAsia="Times New Roman"/>
          <w:sz w:val="24"/>
          <w:szCs w:val="24"/>
        </w:rPr>
        <w:t xml:space="preserve">a) Somos </w:t>
      </w:r>
      <w:r>
        <w:rPr>
          <w:rFonts w:ascii="Arial" w:hAnsi="Arial" w:eastAsia="Times New Roman"/>
          <w:i/>
          <w:sz w:val="24"/>
          <w:szCs w:val="24"/>
        </w:rPr>
        <w:t xml:space="preserve">Seres Sociais</w:t>
      </w:r>
      <w:r>
        <w:rPr>
          <w:rFonts w:ascii="Arial" w:hAnsi="Arial" w:eastAsia="Times New Roman"/>
          <w:sz w:val="24"/>
          <w:szCs w:val="24"/>
        </w:rPr>
        <w:t xml:space="preserve"> (aspecto central da aprendizagem); </w:t>
      </w:r>
      <w:r/>
    </w:p>
    <w:p>
      <w:pPr>
        <w:pStyle w:val="143"/>
        <w:jc w:val="both"/>
        <w:spacing w:lineRule="auto" w:line="360" w:after="0"/>
      </w:pPr>
      <w:r>
        <w:rPr>
          <w:rFonts w:ascii="Arial" w:hAnsi="Arial" w:eastAsia="Times New Roman"/>
          <w:sz w:val="24"/>
          <w:szCs w:val="24"/>
        </w:rPr>
        <w:t xml:space="preserve">b) </w:t>
      </w:r>
      <w:r>
        <w:rPr>
          <w:rFonts w:ascii="Arial" w:hAnsi="Arial" w:eastAsia="Times New Roman"/>
          <w:i/>
          <w:sz w:val="24"/>
          <w:szCs w:val="24"/>
        </w:rPr>
        <w:t xml:space="preserve">Conhecimento</w:t>
      </w:r>
      <w:r>
        <w:rPr>
          <w:rFonts w:ascii="Arial" w:hAnsi="Arial" w:eastAsia="Times New Roman"/>
          <w:sz w:val="24"/>
          <w:szCs w:val="24"/>
        </w:rPr>
        <w:t xml:space="preserve"> é </w:t>
      </w:r>
      <w:r>
        <w:rPr>
          <w:rFonts w:ascii="Arial" w:hAnsi="Arial" w:eastAsia="Times New Roman"/>
          <w:i/>
          <w:sz w:val="24"/>
          <w:szCs w:val="24"/>
        </w:rPr>
        <w:t xml:space="preserve">competência</w:t>
      </w:r>
      <w:r>
        <w:rPr>
          <w:rFonts w:ascii="Arial" w:hAnsi="Arial" w:eastAsia="Times New Roman"/>
          <w:sz w:val="24"/>
          <w:szCs w:val="24"/>
        </w:rPr>
        <w:t xml:space="preserve"> conforme a valoração dada às atividades (cantar afinadamente, crescer garoto ou garota, dentre outros); </w:t>
      </w:r>
      <w:r/>
    </w:p>
    <w:p>
      <w:pPr>
        <w:pStyle w:val="143"/>
        <w:jc w:val="both"/>
        <w:spacing w:lineRule="auto" w:line="360" w:after="0"/>
      </w:pPr>
      <w:r>
        <w:rPr>
          <w:rFonts w:ascii="Arial" w:hAnsi="Arial" w:eastAsia="Times New Roman"/>
          <w:sz w:val="24"/>
          <w:szCs w:val="24"/>
        </w:rPr>
        <w:t xml:space="preserve">c) </w:t>
      </w:r>
      <w:r>
        <w:rPr>
          <w:rFonts w:ascii="Arial" w:hAnsi="Arial" w:eastAsia="Times New Roman"/>
          <w:i/>
          <w:sz w:val="24"/>
          <w:szCs w:val="24"/>
        </w:rPr>
        <w:t xml:space="preserve">Conhecimento</w:t>
      </w:r>
      <w:r>
        <w:rPr>
          <w:rFonts w:ascii="Arial" w:hAnsi="Arial" w:eastAsia="Times New Roman"/>
          <w:sz w:val="24"/>
          <w:szCs w:val="24"/>
        </w:rPr>
        <w:t xml:space="preserve"> é participar da busca pelo saber, de forma </w:t>
      </w:r>
      <w:r>
        <w:rPr>
          <w:rFonts w:ascii="Arial" w:hAnsi="Arial" w:eastAsia="Times New Roman"/>
          <w:i/>
          <w:sz w:val="24"/>
          <w:szCs w:val="24"/>
        </w:rPr>
        <w:t xml:space="preserve">ativa</w:t>
      </w:r>
      <w:r>
        <w:rPr>
          <w:rFonts w:ascii="Arial" w:hAnsi="Arial" w:eastAsia="Times New Roman"/>
          <w:sz w:val="24"/>
          <w:szCs w:val="24"/>
        </w:rPr>
        <w:t xml:space="preserve"> no mundo; e, </w:t>
      </w:r>
      <w:r/>
    </w:p>
    <w:p>
      <w:pPr>
        <w:pStyle w:val="143"/>
        <w:jc w:val="both"/>
        <w:spacing w:lineRule="auto" w:line="360" w:after="0"/>
      </w:pPr>
      <w:r>
        <w:rPr>
          <w:rFonts w:ascii="Arial" w:hAnsi="Arial" w:eastAsia="Times New Roman"/>
          <w:sz w:val="24"/>
          <w:szCs w:val="24"/>
        </w:rPr>
        <w:t xml:space="preserve">d) </w:t>
      </w:r>
      <w:r>
        <w:rPr>
          <w:rFonts w:ascii="Arial" w:hAnsi="Arial" w:eastAsia="Times New Roman"/>
          <w:i/>
          <w:sz w:val="24"/>
          <w:szCs w:val="24"/>
        </w:rPr>
        <w:t xml:space="preserve">Significado</w:t>
      </w:r>
      <w:r>
        <w:rPr>
          <w:rFonts w:ascii="Arial" w:hAnsi="Arial" w:eastAsia="Times New Roman"/>
          <w:sz w:val="24"/>
          <w:szCs w:val="24"/>
        </w:rPr>
        <w:t xml:space="preserve"> obtido pela capacidade de experienciar o mundo e a relação com ele de forma significativa, o que a aprendizagem deve, de fato, produzir (ILLERIS, 2013).</w:t>
      </w:r>
      <w:r/>
    </w:p>
    <w:p>
      <w:pPr>
        <w:pStyle w:val="143"/>
        <w:ind w:firstLine="860"/>
        <w:jc w:val="both"/>
        <w:spacing w:lineRule="auto" w:line="360" w:after="0"/>
      </w:pPr>
      <w:r>
        <w:rPr>
          <w:rFonts w:ascii="Arial" w:hAnsi="Arial" w:eastAsia="Times New Roman"/>
          <w:sz w:val="24"/>
          <w:szCs w:val="24"/>
        </w:rPr>
        <w:t xml:space="preserve">Com isso, tem-se como o principal foco da teoria da aprendizagem</w:t>
      </w:r>
      <w:r>
        <w:rPr>
          <w:rFonts w:ascii="Arial" w:hAnsi="Arial" w:eastAsia="Times New Roman"/>
          <w:sz w:val="24"/>
          <w:szCs w:val="24"/>
        </w:rPr>
        <w:t xml:space="preserve"> </w:t>
      </w:r>
      <w:r>
        <w:rPr>
          <w:rFonts w:ascii="Arial" w:hAnsi="Arial" w:eastAsia="Times New Roman"/>
          <w:sz w:val="24"/>
          <w:szCs w:val="24"/>
        </w:rPr>
        <w:t xml:space="preserve">aquela premissa da aprendizagem enquanto participação social do homem ativo nas comunidades sociais, construindo identidades, sensação de pertencimento, moldando o fazer e o ser, interpretando e compreendendo aquilo que faz, ou seja, é por meio da Teoria Social da Aprendizagem - enquanto elemento necessário para caracterizar a participação social no processo de aprender e conhecer, que o homem consolida os elementos: </w:t>
      </w:r>
      <w:r/>
    </w:p>
    <w:p>
      <w:pPr>
        <w:pStyle w:val="143"/>
        <w:jc w:val="both"/>
        <w:spacing w:lineRule="auto" w:line="360" w:after="0"/>
      </w:pPr>
      <w:r>
        <w:rPr>
          <w:rFonts w:ascii="Arial" w:hAnsi="Arial" w:eastAsia="Times New Roman"/>
          <w:sz w:val="24"/>
          <w:szCs w:val="24"/>
        </w:rPr>
        <w:t xml:space="preserve">a) </w:t>
      </w:r>
      <w:r>
        <w:rPr>
          <w:rFonts w:ascii="Arial" w:hAnsi="Arial" w:eastAsia="Times New Roman"/>
          <w:i/>
          <w:sz w:val="24"/>
          <w:szCs w:val="24"/>
        </w:rPr>
        <w:t xml:space="preserve">Significado</w:t>
      </w:r>
      <w:r>
        <w:rPr>
          <w:rFonts w:ascii="Arial" w:hAnsi="Arial" w:eastAsia="Times New Roman"/>
          <w:sz w:val="24"/>
          <w:szCs w:val="24"/>
        </w:rPr>
        <w:t xml:space="preserve">: um modo de falar acerca da capacidade (mutável </w:t>
        <w:noBreakHyphen/>
        <w:t xml:space="preserve"> individual e coletiva) para experimentar a vida e o mundo, significativamente; </w:t>
      </w:r>
      <w:r/>
    </w:p>
    <w:p>
      <w:pPr>
        <w:pStyle w:val="143"/>
        <w:jc w:val="both"/>
        <w:spacing w:lineRule="auto" w:line="360" w:after="0"/>
      </w:pPr>
      <w:r>
        <w:rPr>
          <w:rFonts w:ascii="Arial" w:hAnsi="Arial" w:eastAsia="Times New Roman"/>
          <w:sz w:val="24"/>
          <w:szCs w:val="24"/>
        </w:rPr>
        <w:t xml:space="preserve">b) </w:t>
      </w:r>
      <w:r>
        <w:rPr>
          <w:rFonts w:ascii="Arial" w:hAnsi="Arial" w:eastAsia="Times New Roman"/>
          <w:i/>
          <w:sz w:val="24"/>
          <w:szCs w:val="24"/>
        </w:rPr>
        <w:t xml:space="preserve">Prática</w:t>
      </w:r>
      <w:r>
        <w:rPr>
          <w:rFonts w:ascii="Arial" w:hAnsi="Arial" w:eastAsia="Times New Roman"/>
          <w:sz w:val="24"/>
          <w:szCs w:val="24"/>
        </w:rPr>
        <w:t xml:space="preserve">: um modo de falar acerca dos modelos, recursos e perspectivas sociais e históricas, compartilhados, sustentando o envolvimento mútuo; </w:t>
      </w:r>
      <w:r/>
    </w:p>
    <w:p>
      <w:pPr>
        <w:pStyle w:val="143"/>
        <w:jc w:val="both"/>
        <w:spacing w:lineRule="auto" w:line="360" w:after="0"/>
      </w:pPr>
      <w:r>
        <w:rPr>
          <w:rFonts w:ascii="Arial" w:hAnsi="Arial" w:eastAsia="Times New Roman"/>
          <w:sz w:val="24"/>
          <w:szCs w:val="24"/>
        </w:rPr>
        <w:t xml:space="preserve">c) </w:t>
      </w:r>
      <w:r>
        <w:rPr>
          <w:rFonts w:ascii="Arial" w:hAnsi="Arial" w:eastAsia="Times New Roman"/>
          <w:i/>
          <w:sz w:val="24"/>
          <w:szCs w:val="24"/>
        </w:rPr>
        <w:t xml:space="preserve">Comunidade</w:t>
      </w:r>
      <w:r>
        <w:rPr>
          <w:rFonts w:ascii="Arial" w:hAnsi="Arial" w:eastAsia="Times New Roman"/>
          <w:sz w:val="24"/>
          <w:szCs w:val="24"/>
        </w:rPr>
        <w:t xml:space="preserve">: um modo de falar sobre configurações sociais em que as atividades se tornam um padrão a ser seguido, como sendo competência; e, </w:t>
      </w:r>
      <w:r/>
    </w:p>
    <w:p>
      <w:pPr>
        <w:pStyle w:val="143"/>
        <w:jc w:val="both"/>
        <w:spacing w:lineRule="auto" w:line="360" w:after="0"/>
      </w:pPr>
      <w:r>
        <w:rPr>
          <w:rFonts w:ascii="Arial" w:hAnsi="Arial" w:eastAsia="Times New Roman"/>
          <w:sz w:val="24"/>
          <w:szCs w:val="24"/>
        </w:rPr>
        <w:t xml:space="preserve">d) </w:t>
      </w:r>
      <w:r>
        <w:rPr>
          <w:rFonts w:ascii="Arial" w:hAnsi="Arial" w:eastAsia="Times New Roman"/>
          <w:i/>
          <w:sz w:val="24"/>
          <w:szCs w:val="24"/>
        </w:rPr>
        <w:t xml:space="preserve">Identidade</w:t>
      </w:r>
      <w:r>
        <w:rPr>
          <w:rFonts w:ascii="Arial" w:hAnsi="Arial" w:eastAsia="Times New Roman"/>
          <w:sz w:val="24"/>
          <w:szCs w:val="24"/>
        </w:rPr>
        <w:t xml:space="preserve">: um modo de falar sobre aprendizagem que muda quem somos, criando histórias pessoais de formação num contexto comunitário (ILLERIS, 2013).</w:t>
      </w:r>
      <w:r/>
    </w:p>
    <w:p>
      <w:pPr>
        <w:pStyle w:val="143"/>
        <w:ind w:firstLine="860"/>
        <w:jc w:val="both"/>
        <w:spacing w:lineRule="auto" w:line="360" w:after="0"/>
      </w:pPr>
      <w:r>
        <w:rPr>
          <w:rFonts w:ascii="Arial" w:hAnsi="Arial" w:eastAsia="Times New Roman"/>
          <w:sz w:val="24"/>
          <w:szCs w:val="24"/>
        </w:rPr>
        <w:t xml:space="preserve">Tais elementos estão interconectados, tornando-se relevante, portanto, o conceito “Comunidade de Prática” enquanto ponto de partida para um modelo conceitual amplo por estar em toda a parte, seja em casa, trabalho, escola, e outros, mudando ao longo dos anos. Na família como exemplo da luta pela sobrevivência conjunta, numa identidade estabelecida. No trabalho a busca pela mantença do posto, buscando satisfazer o empregador e clientes. Na escola, que além da agenda instituída, comporta comunidades de prática em toda a parte, transformando informalmente. Ainda, bandas, igrejas, cientistas, jovens de um bairro, e outros, na busca pelo seu sentido de identidade (ILLERIS, 2013).</w:t>
      </w:r>
      <w:r/>
    </w:p>
    <w:p>
      <w:pPr>
        <w:pStyle w:val="143"/>
        <w:ind w:firstLine="860"/>
        <w:jc w:val="both"/>
        <w:spacing w:lineRule="auto" w:line="360" w:after="0"/>
      </w:pPr>
      <w:r>
        <w:rPr>
          <w:rFonts w:ascii="Arial" w:hAnsi="Arial" w:eastAsia="Times New Roman"/>
          <w:sz w:val="24"/>
          <w:szCs w:val="24"/>
        </w:rPr>
        <w:t xml:space="preserve">Segundo Illeris (2013), colocar o foco na participação também implica no que é necessário para o entendimento e sua contribuição para o aprendizado: para o participante, seu aprendizado vem do seu envolvimento e contribuições na comunidade; para a comunidade, vem por meio do aprimoramento de suas práticas e a garantia de novos membros. E, por fim, para as organizações, é mantendo as comunidades interconectadas, aprendendo o que tem para aprender tornando-se efetiva e de valor como organização.</w:t>
      </w:r>
      <w:r/>
    </w:p>
    <w:p>
      <w:pPr>
        <w:pStyle w:val="143"/>
        <w:ind w:firstLine="860"/>
        <w:jc w:val="both"/>
        <w:spacing w:lineRule="auto" w:line="360" w:after="0"/>
      </w:pPr>
      <w:r>
        <w:rPr>
          <w:rFonts w:ascii="Arial" w:hAnsi="Arial" w:eastAsia="Times New Roman"/>
          <w:sz w:val="24"/>
          <w:szCs w:val="24"/>
        </w:rPr>
        <w:t xml:space="preserve">O aprendizado não pode ocorrer separadamente de outras situações cotidianas. Ele se dá em momentos onde o aprender é intenso, também ocorre noutros momentos em que é necessário maior foco, e com isso produzindo um resultado concreto. Até mesmo no momento em que o aprendizado buscado não acontece, e, portanto, acontecerá um outro aprender em seu lugar (ILLERIS, 2013).</w:t>
      </w:r>
      <w:r/>
    </w:p>
    <w:p>
      <w:pPr>
        <w:pStyle w:val="143"/>
        <w:ind w:firstLine="860"/>
        <w:jc w:val="both"/>
        <w:spacing w:lineRule="auto" w:line="360" w:after="0"/>
      </w:pPr>
      <w:r>
        <w:rPr>
          <w:rFonts w:ascii="Arial" w:hAnsi="Arial"/>
          <w:sz w:val="24"/>
          <w:szCs w:val="24"/>
        </w:rPr>
        <w:t xml:space="preserve">A partir da perspectiva de Wenger (2011), a escola pode ser vista como um conjunto de comunidades de prática que se entrelaçam em torno de objetivos, de regras, normas e crenças e caminha em relações de comando. Assim, três características servem para definir uma comunidade de prática:</w:t>
      </w:r>
      <w:r/>
    </w:p>
    <w:p>
      <w:pPr>
        <w:pStyle w:val="143"/>
        <w:jc w:val="both"/>
        <w:spacing w:lineRule="auto" w:line="360" w:after="0"/>
      </w:pPr>
      <w:r>
        <w:rPr>
          <w:rFonts w:ascii="Arial" w:hAnsi="Arial"/>
          <w:sz w:val="24"/>
          <w:szCs w:val="24"/>
        </w:rPr>
        <w:t xml:space="preserve">a) é um empreendimento compartilhado que faz sentido para aqueles que o integram e constitui uma resposta a condições externas em que está inserido. É resultado de um processo de negociação coletiva, onde são construídas relações de responsabilidade mútua entre os participantes.</w:t>
      </w:r>
      <w:r/>
    </w:p>
    <w:p>
      <w:pPr>
        <w:pStyle w:val="143"/>
        <w:jc w:val="both"/>
        <w:spacing w:lineRule="auto" w:line="360" w:after="0"/>
      </w:pPr>
      <w:r>
        <w:rPr>
          <w:rFonts w:ascii="Arial" w:hAnsi="Arial"/>
          <w:sz w:val="24"/>
          <w:szCs w:val="24"/>
        </w:rPr>
        <w:t xml:space="preserve">b) possui compromisso mútuo, onde o esforço coletivo gera a pertença. A prática existe porque existem pessoas engajadas em ações cujo significado é mutuamente negociado. Cada participante é um individual com identidade própria e as várias identidades vão se interligar de diversas formas, e onde os desacordos podem ser vistos como formas de participação.</w:t>
      </w:r>
      <w:r/>
    </w:p>
    <w:p>
      <w:pPr>
        <w:pStyle w:val="143"/>
        <w:jc w:val="both"/>
        <w:spacing w:lineRule="auto" w:line="360" w:after="0"/>
      </w:pPr>
      <w:r>
        <w:rPr>
          <w:rFonts w:ascii="Arial" w:hAnsi="Arial"/>
          <w:sz w:val="24"/>
          <w:szCs w:val="24"/>
        </w:rPr>
        <w:t xml:space="preserve">c) possui um repertório compartilhado de recursos materiais e simbólicos que carregam a história da comunidade. Rotinas, palavras, histórias, ferramentas, formas de fazer, gestos, símbolos, gêneros, ações, conceitos que a comunidade produziu ou adotou e que se tornaram parte de sua prática. O repertório é o discurso pelo qual os membros de uma comunidade criam declarações significativas sobre o mundo, a forma por meio da qual expressam suas formas de filiação e identidade, o recurso para a negociação de significados. Esse repertório carrega uma história de engajamento mútuo e é ambíguo, o que, ao mesmo tempo em que dificulta a mudança, gera novos significados.</w:t>
      </w:r>
      <w:r/>
    </w:p>
    <w:p>
      <w:pPr>
        <w:pStyle w:val="143"/>
        <w:ind w:firstLine="709"/>
        <w:jc w:val="both"/>
        <w:spacing w:lineRule="auto" w:line="360" w:after="0"/>
      </w:pPr>
      <w:r>
        <w:rPr>
          <w:rFonts w:ascii="Arial" w:hAnsi="Arial"/>
          <w:sz w:val="24"/>
          <w:szCs w:val="24"/>
        </w:rPr>
        <w:t xml:space="preserve">Portanto, a aprendizagem envolve a participação nas práticas e a construção de identidades (reificação) a partir delas. O conhecimento adquirido é resultado da participação e do engajamento do indivíduo no mundo de forma ativa. Aprendizagem implica mudanças nas histórias pessoais, uma recontextualização dos sujeitos a partir de rotinas compartilhadas (PAIXÃO, 2014).</w:t>
      </w:r>
      <w:r/>
    </w:p>
    <w:p>
      <w:pPr>
        <w:pStyle w:val="143"/>
        <w:ind w:firstLine="709"/>
        <w:jc w:val="both"/>
        <w:spacing w:lineRule="auto" w:line="360" w:after="0"/>
      </w:pPr>
      <w:r>
        <w:rPr>
          <w:rFonts w:ascii="Arial" w:hAnsi="Arial"/>
          <w:sz w:val="24"/>
          <w:szCs w:val="24"/>
        </w:rPr>
        <w:t xml:space="preserve">Para Wenger (2011) a participação é "tomar parte de algo" e a reificação é a construção de significados e objetivação da experiência e são fontes de continuidade ou descontinuidade de uma comunidade de prática. A participação inclui a presença do poder, onde cada participante exerce papel específico que o coloca em um espaço hierárquico. A reificação inclui institucionalizar a prática e encontrar o arranjo que vai identificar a comunidade.</w:t>
      </w:r>
      <w:r/>
    </w:p>
    <w:p>
      <w:pPr>
        <w:pStyle w:val="143"/>
        <w:ind w:firstLine="860"/>
        <w:jc w:val="both"/>
        <w:spacing w:lineRule="auto" w:line="360" w:after="0"/>
      </w:pPr>
      <w:r>
        <w:rPr>
          <w:rFonts w:ascii="Arial" w:hAnsi="Arial" w:eastAsia="Times New Roman"/>
          <w:sz w:val="24"/>
          <w:szCs w:val="24"/>
        </w:rPr>
        <w:t xml:space="preserve">Logo, o termo Comunidade de Prática (CoP) pode ser novo, mas a experiência é antiga, disseminando-se informalmente de forma a selecionar quem pertencerá a dada comunidade e porquê. Seu conceito não é desconhecido, é ferramenta de pensamento, esquecida pela obviedade e familiaridade, contudo promotora dos “</w:t>
      </w:r>
      <w:r>
        <w:rPr>
          <w:rFonts w:ascii="Arial" w:hAnsi="Arial" w:eastAsia="Times New Roman"/>
          <w:i/>
          <w:sz w:val="24"/>
          <w:szCs w:val="24"/>
        </w:rPr>
        <w:t xml:space="preserve">insights </w:t>
      </w:r>
      <w:r>
        <w:rPr>
          <w:rFonts w:ascii="Arial" w:hAnsi="Arial" w:eastAsia="Times New Roman"/>
          <w:sz w:val="24"/>
          <w:szCs w:val="24"/>
        </w:rPr>
        <w:t xml:space="preserve">mais valiosos” (ILLERIS, 2013).</w:t>
      </w:r>
      <w:r/>
    </w:p>
    <w:p>
      <w:pPr>
        <w:pStyle w:val="143"/>
        <w:ind w:firstLine="709"/>
        <w:jc w:val="both"/>
        <w:spacing w:lineRule="auto" w:line="360" w:after="0"/>
      </w:pPr>
      <w:r>
        <w:rPr>
          <w:rFonts w:ascii="Arial" w:hAnsi="Arial" w:eastAsia="Times New Roman"/>
          <w:sz w:val="24"/>
          <w:szCs w:val="24"/>
        </w:rPr>
        <w:t xml:space="preserve">Em vista do exposto, verifica-se que o aprender está sim diretamente ligado às salas de aula e ambientes escolares. Porém, não se restringe à escola, pois o ato de aprender está constantemente acontecendo nas comunidades das quais o indivíduo faz parte (ILLERIS, 2013).</w:t>
      </w:r>
      <w:r/>
    </w:p>
    <w:p>
      <w:pPr>
        <w:pStyle w:val="143"/>
        <w:ind w:firstLine="860"/>
        <w:jc w:val="both"/>
        <w:spacing w:lineRule="auto" w:line="360" w:after="0"/>
      </w:pPr>
      <w:r>
        <w:rPr>
          <w:rFonts w:ascii="Arial" w:hAnsi="Arial" w:eastAsia="Arial"/>
          <w:color w:val="0000FF"/>
          <w:sz w:val="24"/>
          <w:szCs w:val="24"/>
        </w:rPr>
        <w:t xml:space="preserve"> </w:t>
      </w:r>
      <w:r/>
    </w:p>
    <w:p>
      <w:pPr>
        <w:pStyle w:val="143"/>
        <w:jc w:val="both"/>
        <w:spacing w:lineRule="auto" w:line="360" w:after="0"/>
      </w:pPr>
      <w:r>
        <w:rPr>
          <w:rFonts w:ascii="Arial" w:hAnsi="Arial" w:eastAsia="Times New Roman"/>
          <w:b/>
          <w:sz w:val="24"/>
          <w:szCs w:val="24"/>
        </w:rPr>
        <w:t xml:space="preserve">2.2.1 A Prática na Prática</w:t>
      </w:r>
      <w:r/>
    </w:p>
    <w:p>
      <w:pPr>
        <w:pStyle w:val="143"/>
        <w:ind w:firstLine="720"/>
        <w:jc w:val="both"/>
        <w:spacing w:lineRule="auto" w:line="360" w:after="0"/>
        <w:rPr>
          <w:rFonts w:ascii="Arial" w:hAnsi="Arial" w:eastAsia="Arial"/>
          <w:sz w:val="24"/>
          <w:szCs w:val="24"/>
        </w:rPr>
        <w:pBdr>
          <w:left w:val="none" w:color="000000" w:sz="0" w:space="0"/>
          <w:top w:val="none" w:color="000000" w:sz="0" w:space="0"/>
          <w:right w:val="none" w:color="000000" w:sz="0" w:space="0"/>
          <w:bottom w:val="single" w:color="FFFFFF" w:sz="4" w:space="1"/>
        </w:pBdr>
      </w:pPr>
      <w:r>
        <w:rPr>
          <w:rFonts w:ascii="Arial" w:hAnsi="Arial" w:eastAsia="Arial"/>
          <w:sz w:val="24"/>
          <w:szCs w:val="24"/>
        </w:rPr>
      </w:r>
      <w:r/>
    </w:p>
    <w:p>
      <w:pPr>
        <w:pStyle w:val="143"/>
        <w:ind w:firstLine="720"/>
        <w:jc w:val="both"/>
        <w:spacing w:lineRule="auto" w:line="360" w:after="0"/>
        <w:pBdr>
          <w:left w:val="none" w:color="000000" w:sz="0" w:space="0"/>
          <w:top w:val="none" w:color="000000" w:sz="0" w:space="0"/>
          <w:right w:val="none" w:color="000000" w:sz="0" w:space="0"/>
          <w:bottom w:val="single" w:color="FFFFFF" w:sz="4" w:space="1"/>
        </w:pBdr>
      </w:pPr>
      <w:r>
        <w:rPr>
          <w:rFonts w:ascii="Arial" w:hAnsi="Arial" w:eastAsia="Arial"/>
          <w:sz w:val="24"/>
          <w:szCs w:val="24"/>
        </w:rPr>
        <w:t xml:space="preserve">Os pressupostos pedagógicos incutidos na organização curricular da Educação profissional e Tecnológica (EPT) pautam-se na formação humana integral, com a construção de uma sólida base de conhecimentos científicos e tecnológicos, atrelada à aplicação de conhecimentos teórico-práticos da área profissional do educando. Assim, a aprendizagem ocorre enquanto experiência de vida e participação no mundo, entendendo que o aprender compõe a natureza humana num fenômeno social fundamental propagado pela capacidade do saber (WENGER, 2013).Desta forma, a prática educativa é vista como aquela que vai facilitar a participação social do homem ativo nas comunidades sociais, construindo identidades, sensação de pertencimento, moldando o fazer e o ser, interpretando e compreendendo aquilo que faz. </w:t>
      </w:r>
      <w:r/>
    </w:p>
    <w:p>
      <w:pPr>
        <w:pStyle w:val="143"/>
        <w:ind w:firstLine="708"/>
        <w:jc w:val="both"/>
        <w:spacing w:lineRule="auto" w:line="360" w:after="0"/>
      </w:pPr>
      <w:r>
        <w:rPr>
          <w:rFonts w:ascii="Arial" w:hAnsi="Arial"/>
          <w:sz w:val="24"/>
          <w:szCs w:val="24"/>
        </w:rPr>
        <w:t xml:space="preserve">Esta abordagem da prática coloca a aprendizagem nas relações sociais entre os indivíduos engajados numa prática, como um processo cognitivo, mas que se realiza coletivamente pelo intercâmbio de experiências, conhecimentos e signiﬁcados sobre práticas e processos, englobando a negociação desses significados e o compartilhamento de conhecimentos proﬁssionais (GHERARDI, 1999). É partir dessa perspectiva emerge a noção de comunidades de prática, pois não há aprendizagem sem um espaço social de interação (WENGER, 1998). </w:t>
      </w:r>
      <w:r/>
    </w:p>
    <w:p>
      <w:pPr>
        <w:pStyle w:val="143"/>
        <w:ind w:left="2268"/>
        <w:jc w:val="both"/>
        <w:spacing w:lineRule="auto" w:line="360" w:after="0"/>
      </w:pPr>
      <w:r>
        <w:rPr>
          <w:rFonts w:ascii="Arial" w:hAnsi="Arial"/>
          <w:sz w:val="20"/>
          <w:szCs w:val="20"/>
        </w:rPr>
        <w:t xml:space="preserve">Uma comunidade de prática constitui-se num ambiente que sustenta suﬁciente engajamento voluntário e mútuo entre seus membros, objetivando, por meio da busca de empreendimentos comuns, a partilha de conhecimentos e geração de aprendizagem (WENGER, 1998, p. 86)</w:t>
      </w:r>
      <w:r/>
    </w:p>
    <w:p>
      <w:pPr>
        <w:pStyle w:val="143"/>
        <w:ind w:firstLine="709"/>
        <w:jc w:val="both"/>
        <w:spacing w:lineRule="auto" w:line="360" w:after="0"/>
      </w:pPr>
      <w:r>
        <w:rPr>
          <w:rFonts w:ascii="Arial" w:hAnsi="Arial"/>
          <w:sz w:val="24"/>
          <w:szCs w:val="24"/>
        </w:rPr>
        <w:t xml:space="preserve">Assim, a CoP representa um espaço de troca de experiências, de interação social e engajamento coletivo ao redor de uma atividade, o que faz da aprendizagem algo contextualizado na prática (WENGER, 1998; GHERARDI, 2001). </w:t>
      </w:r>
      <w:r/>
    </w:p>
    <w:p>
      <w:pPr>
        <w:pStyle w:val="143"/>
        <w:ind w:firstLine="709"/>
        <w:jc w:val="both"/>
        <w:spacing w:lineRule="auto" w:line="360" w:after="0"/>
      </w:pPr>
      <w:r>
        <w:rPr>
          <w:rFonts w:ascii="Arial" w:hAnsi="Arial"/>
          <w:sz w:val="24"/>
          <w:szCs w:val="24"/>
        </w:rPr>
        <w:t xml:space="preserve">Ademais, a associação em comunidades adota consciente ou inconscientemente um sistema de crenças, vivencia experiências e, como consequência, acaba por desenvolver uma identidade partilhada, construída por meio das relações sociais, das rotinas, do fazer junto advindas da participação ativa dos seus membros. A negociação dos significados durante essas trocas fazem os indivíduos refletirem e, essa reflexividade, faz com que a aprendizagem aconteça (GHERARDI </w:t>
      </w:r>
      <w:r>
        <w:rPr>
          <w:rFonts w:ascii="Arial" w:hAnsi="Arial"/>
          <w:i/>
          <w:sz w:val="24"/>
          <w:szCs w:val="24"/>
        </w:rPr>
        <w:t xml:space="preserve">et.all</w:t>
      </w:r>
      <w:r>
        <w:rPr>
          <w:rFonts w:ascii="Arial" w:hAnsi="Arial"/>
          <w:sz w:val="24"/>
          <w:szCs w:val="24"/>
        </w:rPr>
        <w:t xml:space="preserve">, 1998). Wenger (2011) considera a CoP em cinco dimensões:</w:t>
      </w:r>
      <w:r/>
    </w:p>
    <w:p>
      <w:pPr>
        <w:pStyle w:val="143"/>
        <w:jc w:val="center"/>
        <w:spacing w:lineRule="auto" w:line="240" w:after="0"/>
        <w:rPr>
          <w:rFonts w:ascii="Arial" w:hAnsi="Arial"/>
        </w:rPr>
      </w:pPr>
      <w:r>
        <w:rPr>
          <w:rFonts w:ascii="Arial" w:hAnsi="Arial"/>
        </w:rPr>
        <mc:AlternateContent>
          <mc:Choice Requires="wps">
            <w:drawing>
              <wp:inline xmlns:wp="http://schemas.openxmlformats.org/drawingml/2006/wordprocessingDrawing" distT="0" distB="0" distL="0" distR="0">
                <wp:extent cx="5412053" cy="2447047"/>
                <wp:effectExtent l="0" t="0" r="0" b="0"/>
                <wp:docPr id="1" name="" hidden="false"/>
                <wp:cNvGraphicFramePr/>
                <a:graphic xmlns:a="http://schemas.openxmlformats.org/drawingml/2006/main">
                  <a:graphicData uri="http://schemas.microsoft.com/office/word/2010/wordprocessingShape">
                    <wps:wsp>
                      <wps:cNvSpPr/>
                      <wps:spPr bwMode="auto">
                        <a:xfrm>
                          <a:off x="0" y="0"/>
                          <a:ext cx="5412054" cy="2447048"/>
                        </a:xfrm>
                        <a:prstGeom prst="rect">
                          <a:avLst/>
                        </a:prstGeom>
                        <a:blipFill>
                          <a:blip r:embed="rId11"/>
                          <a:srcRect l="-6" t="-12" r="-6" b="-12"/>
                          <a:stretch/>
                        </a:blipFill>
                        <a:ln>
                          <a:noFill/>
                        </a:ln>
                      </wps:spPr>
                      <wps:bodyPr rot="0">
                        <a:prstTxWarp prst="textNoShape">
                          <a:avLst/>
                        </a:prstTxWarp>
                        <a:noAutofit/>
                      </wps:bodyPr>
                    </wps:wsp>
                  </a:graphicData>
                </a:graphic>
              </wp:inline>
            </w:drawing>
          </mc:Choice>
          <mc:Fallback>
            <w:pict>
              <v:shape id="shape 0" o:spid="_x0000_s0000" o:spt="1" style="mso-wrap-distance-left:0.0pt;mso-wrap-distance-top:0.0pt;mso-wrap-distance-right:0.0pt;mso-wrap-distance-bottom:0.0pt;width:426.1pt;height:192.7pt;" coordsize="100000,100000" path="m0,0l100000,0l100000,100001l0,100001xe">
                <v:path textboxrect="0,0,100000,99995"/>
                <v:fill r:id="rId11" o:title="" type="frame"/>
              </v:shape>
            </w:pict>
          </mc:Fallback>
        </mc:AlternateContent>
      </w:r>
      <w:r>
        <w:rPr>
          <w:rFonts w:ascii="Arial" w:hAnsi="Arial"/>
        </w:rPr>
      </w:r>
      <w:r/>
    </w:p>
    <w:p>
      <w:pPr>
        <w:pStyle w:val="143"/>
        <w:jc w:val="center"/>
        <w:spacing w:lineRule="auto" w:line="240" w:after="0"/>
      </w:pPr>
      <w:r>
        <w:rPr>
          <w:rFonts w:ascii="Arial" w:hAnsi="Arial"/>
        </w:rPr>
        <w:t xml:space="preserve">Fonte: Wenger (2003) apud Souza-Siva e Davel (2007, p.56).</w:t>
      </w:r>
      <w:r/>
    </w:p>
    <w:p>
      <w:pPr>
        <w:pStyle w:val="143"/>
        <w:ind w:firstLine="709"/>
        <w:jc w:val="both"/>
        <w:spacing w:lineRule="auto" w:line="360" w:after="0"/>
        <w:rPr>
          <w:rFonts w:ascii="Arial" w:hAnsi="Arial"/>
          <w:sz w:val="24"/>
          <w:szCs w:val="24"/>
        </w:rPr>
      </w:pPr>
      <w:r>
        <w:rPr>
          <w:rFonts w:ascii="Arial" w:hAnsi="Arial"/>
          <w:sz w:val="24"/>
          <w:szCs w:val="24"/>
        </w:rPr>
      </w:r>
      <w:r/>
    </w:p>
    <w:p>
      <w:pPr>
        <w:pStyle w:val="143"/>
        <w:ind w:firstLine="709"/>
        <w:jc w:val="both"/>
        <w:spacing w:lineRule="auto" w:line="360" w:after="0"/>
      </w:pPr>
      <w:r>
        <w:rPr>
          <w:rFonts w:ascii="Arial" w:hAnsi="Arial"/>
          <w:sz w:val="24"/>
          <w:szCs w:val="24"/>
        </w:rPr>
        <w:t xml:space="preserve">Baseado nas cinco dimensões, Wenger (2011) elenca as três principais características que compõem uma CoP:</w:t>
      </w:r>
      <w:r/>
    </w:p>
    <w:p>
      <w:pPr>
        <w:pStyle w:val="143"/>
        <w:ind w:firstLine="709"/>
        <w:jc w:val="both"/>
        <w:spacing w:lineRule="auto" w:line="360" w:after="0"/>
      </w:pPr>
      <w:r>
        <w:rPr>
          <w:rFonts w:ascii="Arial" w:hAnsi="Arial"/>
          <w:sz w:val="24"/>
          <w:szCs w:val="24"/>
        </w:rPr>
        <w:t xml:space="preserve">1) o domínio: uma comunidade de prática possui uma identidade que é definida por um domínio compartilhado de interesse. A adesão a uma comunidade implica um compromisso com o domínio, é uma competência partilhada que vai distinguir um membro dos outros e que não necessariamente é reconhecida fora da comunidade.</w:t>
      </w:r>
      <w:r/>
    </w:p>
    <w:p>
      <w:pPr>
        <w:pStyle w:val="143"/>
        <w:ind w:firstLine="709"/>
        <w:jc w:val="both"/>
        <w:spacing w:lineRule="auto" w:line="360" w:after="0"/>
      </w:pPr>
      <w:r>
        <w:rPr>
          <w:rFonts w:ascii="Arial" w:hAnsi="Arial"/>
          <w:sz w:val="24"/>
          <w:szCs w:val="24"/>
        </w:rPr>
        <w:t xml:space="preserve">2) a comunidade: os membros se envolvem em atividades conjuntas em busca de seus interesses. Constroem relações que lhes permitem aprender uns com os outros.</w:t>
      </w:r>
      <w:r/>
    </w:p>
    <w:p>
      <w:pPr>
        <w:pStyle w:val="143"/>
        <w:ind w:firstLine="709"/>
        <w:jc w:val="both"/>
        <w:spacing w:lineRule="auto" w:line="360" w:after="0"/>
      </w:pPr>
      <w:r>
        <w:rPr>
          <w:rFonts w:ascii="Arial" w:hAnsi="Arial"/>
          <w:sz w:val="24"/>
          <w:szCs w:val="24"/>
        </w:rPr>
        <w:t xml:space="preserve">3) a prática: uma comunidade de prática abarca indivíduos que são praticantes e que desenvolvem um repertório compartilhado de recursos em interação.</w:t>
      </w:r>
      <w:r/>
    </w:p>
    <w:p>
      <w:pPr>
        <w:pStyle w:val="143"/>
        <w:ind w:firstLine="709"/>
        <w:jc w:val="both"/>
        <w:spacing w:lineRule="auto" w:line="360" w:after="0"/>
        <w:rPr>
          <w:rFonts w:ascii="Arial" w:hAnsi="Arial"/>
          <w:sz w:val="24"/>
          <w:szCs w:val="24"/>
        </w:rPr>
      </w:pPr>
      <w:r>
        <w:rPr>
          <w:rFonts w:ascii="Arial" w:hAnsi="Arial"/>
          <w:sz w:val="24"/>
          <w:szCs w:val="24"/>
        </w:rPr>
        <w:t xml:space="preserve">Assim, a aprendizagem emerge da participação em CoP (</w:t>
      </w:r>
      <w:r>
        <w:rPr>
          <w:rFonts w:ascii="Arial" w:hAnsi="Arial"/>
          <w:sz w:val="24"/>
          <w:szCs w:val="24"/>
        </w:rPr>
        <w:t xml:space="preserve">LAVE e WENGER, 1991; WENGER, </w:t>
      </w:r>
      <w:r>
        <w:rPr>
          <w:rFonts w:ascii="Arial" w:hAnsi="Arial"/>
          <w:sz w:val="24"/>
          <w:szCs w:val="24"/>
        </w:rPr>
        <w:t xml:space="preserve">1999), da interação social, da colaboração e do engajamento. Em síntese, as comunidades de prática são formadas por indivíduos que se engajam num processo de aprendizagem coletiva ao se envolverem na realização de um empreendimento ou em algo que fazem ou aprendem a fazer juntos na medida em que interagem, produzindo significados negociados, um repertório comum e um engajamento mútuo e um repertório comum (WENGER, 1999). O conhecimento, assim, passa a ser aquilo que é adquirido na prática, resultado da participação e do engajamento no mundo de forma ativa. </w:t>
      </w:r>
      <w:r/>
    </w:p>
    <w:p>
      <w:pPr>
        <w:pStyle w:val="143"/>
        <w:ind w:firstLine="709"/>
        <w:jc w:val="both"/>
        <w:spacing w:lineRule="auto" w:line="360" w:after="0"/>
      </w:pPr>
      <w:r>
        <w:rPr>
          <w:rFonts w:ascii="Arial" w:hAnsi="Arial"/>
          <w:sz w:val="24"/>
          <w:szCs w:val="24"/>
        </w:rPr>
      </w:r>
      <w:r>
        <w:rPr>
          <w:rFonts w:ascii="Arial" w:hAnsi="Arial"/>
          <w:sz w:val="24"/>
          <w:szCs w:val="24"/>
        </w:rPr>
      </w:r>
    </w:p>
    <w:p>
      <w:pPr>
        <w:pStyle w:val="143"/>
        <w:spacing w:lineRule="auto" w:line="360" w:after="0"/>
        <w:rPr>
          <w:rFonts w:ascii="Arial" w:hAnsi="Arial"/>
          <w:b/>
          <w:bCs/>
          <w:sz w:val="28"/>
          <w:szCs w:val="28"/>
        </w:rPr>
      </w:pPr>
      <w:r>
        <w:rPr>
          <w:rFonts w:ascii="Arial" w:hAnsi="Arial"/>
          <w:b/>
          <w:bCs/>
          <w:sz w:val="28"/>
          <w:szCs w:val="28"/>
        </w:rPr>
      </w:r>
      <w:r/>
    </w:p>
    <w:p>
      <w:pPr>
        <w:pStyle w:val="143"/>
        <w:spacing w:lineRule="auto" w:line="360" w:after="0"/>
      </w:pPr>
      <w:r>
        <w:rPr>
          <w:rFonts w:ascii="Arial" w:hAnsi="Arial"/>
          <w:b/>
          <w:bCs/>
          <w:sz w:val="28"/>
          <w:szCs w:val="28"/>
        </w:rPr>
        <w:t xml:space="preserve">3 CONSIDERAÇÕES FINAIS</w:t>
      </w:r>
      <w:r/>
    </w:p>
    <w:p>
      <w:pPr>
        <w:pStyle w:val="143"/>
        <w:spacing w:lineRule="auto" w:line="360" w:after="0"/>
        <w:rPr>
          <w:rFonts w:ascii="Arial" w:hAnsi="Arial"/>
          <w:b/>
          <w:bCs/>
          <w:sz w:val="24"/>
          <w:szCs w:val="24"/>
        </w:rPr>
      </w:pPr>
      <w:r>
        <w:rPr>
          <w:rFonts w:ascii="Arial" w:hAnsi="Arial"/>
          <w:b/>
          <w:bCs/>
          <w:sz w:val="24"/>
          <w:szCs w:val="24"/>
        </w:rPr>
      </w:r>
      <w:r/>
    </w:p>
    <w:p>
      <w:pPr>
        <w:pStyle w:val="143"/>
        <w:ind w:firstLine="720"/>
        <w:jc w:val="both"/>
        <w:spacing w:lineRule="auto" w:line="360" w:after="0"/>
        <w:rPr>
          <w:rFonts w:ascii="Arial" w:hAnsi="Arial" w:cs="Arial" w:eastAsia="Arial"/>
          <w:sz w:val="24"/>
          <w:szCs w:val="24"/>
        </w:rPr>
      </w:pPr>
      <w:r>
        <w:rPr>
          <w:rFonts w:ascii="Arial" w:hAnsi="Arial" w:cs="Arial" w:eastAsia="Arial"/>
          <w:sz w:val="24"/>
          <w:szCs w:val="24"/>
        </w:rPr>
      </w:r>
      <w:r>
        <w:rPr>
          <w:rFonts w:ascii="Arial" w:hAnsi="Arial" w:cs="Arial" w:eastAsia="Arial"/>
          <w:sz w:val="24"/>
          <w:szCs w:val="24"/>
        </w:rPr>
        <w:t xml:space="preserve">A Práxis enquanto Prática Educativa</w:t>
      </w:r>
      <w:r>
        <w:rPr>
          <w:rFonts w:ascii="Arial" w:hAnsi="Arial" w:cs="Arial" w:eastAsia="Arial"/>
          <w:sz w:val="24"/>
          <w:szCs w:val="24"/>
        </w:rPr>
        <w:t xml:space="preserve"> e</w:t>
      </w:r>
      <w:r>
        <w:rPr>
          <w:rFonts w:ascii="Arial" w:hAnsi="Arial" w:cs="Arial" w:eastAsia="Arial"/>
          <w:sz w:val="24"/>
          <w:szCs w:val="24"/>
        </w:rPr>
        <w:t xml:space="preserve"> </w:t>
      </w:r>
      <w:r>
        <w:rPr>
          <w:rFonts w:ascii="Arial" w:hAnsi="Arial" w:cs="Arial" w:eastAsia="Arial"/>
          <w:sz w:val="24"/>
          <w:szCs w:val="24"/>
        </w:rPr>
        <w:t xml:space="preserve">a</w:t>
      </w:r>
      <w:r>
        <w:rPr>
          <w:rFonts w:ascii="Arial" w:hAnsi="Arial" w:cs="Arial" w:eastAsia="Arial"/>
          <w:sz w:val="24"/>
          <w:szCs w:val="24"/>
        </w:rPr>
        <w:t xml:space="preserve">tividade </w:t>
      </w:r>
      <w:r>
        <w:rPr>
          <w:rFonts w:ascii="Arial" w:hAnsi="Arial" w:cs="Arial" w:eastAsia="Arial"/>
          <w:sz w:val="24"/>
          <w:szCs w:val="24"/>
        </w:rPr>
        <w:t xml:space="preserve">h</w:t>
      </w:r>
      <w:r>
        <w:rPr>
          <w:rFonts w:ascii="Arial" w:hAnsi="Arial" w:cs="Arial" w:eastAsia="Arial"/>
          <w:sz w:val="24"/>
          <w:szCs w:val="24"/>
        </w:rPr>
        <w:t xml:space="preserve">umana </w:t>
      </w:r>
      <w:r>
        <w:rPr>
          <w:rFonts w:ascii="Arial" w:hAnsi="Arial" w:cs="Arial" w:eastAsia="Arial"/>
          <w:sz w:val="24"/>
          <w:szCs w:val="24"/>
        </w:rPr>
        <w:t xml:space="preserve">c</w:t>
      </w:r>
      <w:r>
        <w:rPr>
          <w:rFonts w:ascii="Arial" w:hAnsi="Arial" w:cs="Arial" w:eastAsia="Arial"/>
          <w:sz w:val="24"/>
          <w:szCs w:val="24"/>
        </w:rPr>
        <w:t xml:space="preserve">onsciente, pode ter seu conceito amplificado quando da abordagem das Comunidades de Prática (CoP), seja no seio familiar, seja dentre os amigos, no trabalho, no lazer, na escola, dentre outros. </w:t>
      </w:r>
      <w:r>
        <w:rPr>
          <w:rFonts w:ascii="Arial" w:hAnsi="Arial" w:cs="Arial" w:eastAsia="Arial"/>
          <w:sz w:val="24"/>
        </w:rPr>
      </w:r>
      <w:r>
        <w:rPr>
          <w:rFonts w:ascii="Arial" w:hAnsi="Arial" w:cs="Arial" w:eastAsia="Arial"/>
          <w:sz w:val="24"/>
        </w:rPr>
      </w:r>
    </w:p>
    <w:p>
      <w:pPr>
        <w:pStyle w:val="143"/>
        <w:ind w:firstLine="720"/>
        <w:jc w:val="both"/>
        <w:spacing w:lineRule="auto" w:line="360" w:after="0"/>
        <w:rPr>
          <w:rFonts w:ascii="Arial" w:hAnsi="Arial" w:cs="Arial" w:eastAsia="Arial"/>
          <w:sz w:val="24"/>
        </w:rPr>
      </w:pPr>
      <w:r>
        <w:rPr>
          <w:rFonts w:ascii="Arial" w:hAnsi="Arial" w:cs="Arial" w:eastAsia="Arial"/>
          <w:sz w:val="24"/>
          <w:szCs w:val="24"/>
        </w:rPr>
        <w:t xml:space="preserve">As CoP representam aquele momento quando as pessoas envolvem-se numa mesma prática, compartilhando o que estão experienciando e aprendendo. Com isso, passam a reconhecerem-se entre si como parceiros, aproveitando a vivência de um para o outro, todos do grupo enquanto participantes de um mesmo contexto, independentemente se no mesmo ambiente ou separados, desde que praticantes de uma mesma atividade.</w:t>
      </w:r>
      <w:r>
        <w:rPr>
          <w:rFonts w:ascii="Arial" w:hAnsi="Arial" w:cs="Arial" w:eastAsia="Arial"/>
          <w:sz w:val="24"/>
          <w:szCs w:val="24"/>
          <w:lang w:val="pt-BR"/>
        </w:rPr>
        <w:t xml:space="preserve"> </w:t>
      </w:r>
      <w:r>
        <w:rPr>
          <w:rFonts w:ascii="Arial" w:hAnsi="Arial" w:cs="Arial" w:eastAsia="Arial"/>
          <w:sz w:val="24"/>
        </w:rPr>
      </w:r>
      <w:r>
        <w:rPr>
          <w:rFonts w:ascii="Arial" w:hAnsi="Arial" w:cs="Arial" w:eastAsia="Arial"/>
          <w:sz w:val="24"/>
        </w:rPr>
      </w:r>
    </w:p>
    <w:p>
      <w:pPr>
        <w:pStyle w:val="143"/>
        <w:ind w:firstLine="720"/>
        <w:jc w:val="both"/>
        <w:spacing w:lineRule="auto" w:line="360" w:after="0"/>
        <w:rPr>
          <w:rFonts w:ascii="Arial" w:hAnsi="Arial" w:cs="Arial" w:eastAsia="Arial"/>
          <w:sz w:val="24"/>
        </w:rPr>
      </w:pPr>
      <w:r>
        <w:rPr>
          <w:rFonts w:ascii="Arial" w:hAnsi="Arial" w:cs="Arial" w:eastAsia="Arial"/>
          <w:sz w:val="24"/>
          <w:szCs w:val="24"/>
        </w:rPr>
        <w:t xml:space="preserve">A relação nas CoP ocorre de forma mútua e contínua em que cada pertencente ao grupo de pessoas, possui igualmente todo o grupo, a quem podem socorrer-se, se necessário, apresentando as dificuldades e impasses, a fim de obterem a ajuda capacitada e orientada, num roteiro naturalmente estabelecido pelas parcerias que surgem dentro da Comunidade. Acontecem, portanto, as trocas de experiências, erros e acertos, que permitem poupar tempo e energia dos agentes, ganhando em qualidade e permitindo surgir novas ideias, sobretudo pelo uso das ferramentas, estabelecendo assim, as parcerias de aprendizado.</w:t>
      </w:r>
      <w:r>
        <w:rPr>
          <w:rFonts w:ascii="Arial" w:hAnsi="Arial" w:cs="Arial" w:eastAsia="Arial"/>
          <w:sz w:val="24"/>
        </w:rPr>
      </w:r>
      <w:r>
        <w:rPr>
          <w:rFonts w:ascii="Arial" w:hAnsi="Arial" w:cs="Arial" w:eastAsia="Arial"/>
          <w:sz w:val="24"/>
        </w:rPr>
      </w:r>
    </w:p>
    <w:p>
      <w:pPr>
        <w:pStyle w:val="143"/>
        <w:ind w:firstLine="720"/>
        <w:jc w:val="both"/>
        <w:spacing w:lineRule="auto" w:line="360" w:after="0"/>
        <w:rPr>
          <w:rFonts w:ascii="Arial" w:hAnsi="Arial" w:cs="Arial" w:eastAsia="Arial"/>
          <w:sz w:val="24"/>
        </w:rPr>
      </w:pPr>
      <w:r>
        <w:rPr>
          <w:rFonts w:ascii="Arial" w:hAnsi="Arial" w:cs="Arial" w:eastAsia="Arial"/>
          <w:sz w:val="24"/>
          <w:szCs w:val="24"/>
        </w:rPr>
        <w:t xml:space="preserve">Portanto, a aprendizagem se torna social, de forma mais ampla que aquela ideia do aprender apenas pelos processos cognitivos, especialmente porque representa a </w:t>
      </w:r>
      <w:r>
        <w:rPr>
          <w:rFonts w:ascii="Arial" w:hAnsi="Arial" w:cs="Arial" w:eastAsia="Arial"/>
          <w:i/>
          <w:sz w:val="24"/>
          <w:szCs w:val="24"/>
        </w:rPr>
        <w:t xml:space="preserve">teoria em prática</w:t>
      </w:r>
      <w:r>
        <w:rPr>
          <w:rFonts w:ascii="Arial" w:hAnsi="Arial" w:cs="Arial" w:eastAsia="Arial"/>
          <w:sz w:val="24"/>
          <w:szCs w:val="24"/>
        </w:rPr>
        <w:t xml:space="preserve">, permitindo a interação do grupo por meio das atividades que possuem em si, um significado social, sem afastar o aspecto pessoal, tornando efetivo </w:t>
      </w:r>
      <w:r>
        <w:rPr>
          <w:rFonts w:ascii="Arial" w:hAnsi="Arial" w:cs="Arial" w:eastAsia="Arial"/>
          <w:sz w:val="24"/>
          <w:szCs w:val="24"/>
        </w:rPr>
        <w:t xml:space="preserve">o envolvimento do grupo, promovendo ações, diálogos, discussões, críticas e soluções, numa Prática Educativa que estimula o aprendizado por meio de uma Atividade Humana e Consciente.</w:t>
      </w:r>
      <w:r>
        <w:rPr>
          <w:rFonts w:ascii="Arial" w:hAnsi="Arial" w:cs="Arial" w:eastAsia="Arial"/>
          <w:sz w:val="24"/>
          <w:szCs w:val="24"/>
          <w:lang w:val="pt-BR"/>
        </w:rPr>
        <w:t xml:space="preserve"> </w:t>
      </w:r>
      <w:r>
        <w:rPr>
          <w:rFonts w:ascii="Arial" w:hAnsi="Arial" w:cs="Arial" w:eastAsia="Arial"/>
          <w:sz w:val="24"/>
          <w:szCs w:val="24"/>
          <w:lang w:val="pt-BR"/>
        </w:rPr>
        <w:t xml:space="preserve">Temos, assim, uma </w:t>
      </w:r>
      <w:r>
        <w:rPr>
          <w:rFonts w:ascii="Arial" w:hAnsi="Arial" w:cs="Arial" w:eastAsia="Arial"/>
          <w:sz w:val="24"/>
        </w:rPr>
        <w:t xml:space="preserve">unidade entre teoria e prática </w:t>
      </w:r>
      <w:r>
        <w:rPr>
          <w:rFonts w:ascii="Arial" w:hAnsi="Arial" w:cs="Arial" w:eastAsia="Arial"/>
          <w:sz w:val="24"/>
          <w:lang w:val="pt-BR"/>
        </w:rPr>
        <w:t xml:space="preserve">onde </w:t>
      </w:r>
      <w:r>
        <w:rPr>
          <w:rFonts w:ascii="Arial" w:hAnsi="Arial" w:cs="Arial" w:eastAsia="Arial"/>
          <w:sz w:val="24"/>
          <w:lang w:val="pt-BR"/>
        </w:rPr>
        <w:t xml:space="preserve">o</w:t>
      </w:r>
      <w:r>
        <w:rPr>
          <w:rFonts w:ascii="Arial" w:hAnsi="Arial" w:cs="Arial" w:eastAsia="Arial"/>
          <w:sz w:val="24"/>
        </w:rPr>
        <w:t xml:space="preserve"> trabalho</w:t>
      </w:r>
      <w:r>
        <w:rPr>
          <w:rFonts w:ascii="Arial" w:hAnsi="Arial" w:cs="Arial" w:eastAsia="Arial"/>
          <w:sz w:val="24"/>
          <w:lang w:val="pt-BR"/>
        </w:rPr>
        <w:t xml:space="preserve">, como</w:t>
      </w:r>
      <w:r>
        <w:rPr>
          <w:rFonts w:ascii="Arial" w:hAnsi="Arial" w:cs="Arial" w:eastAsia="Arial"/>
          <w:sz w:val="24"/>
        </w:rPr>
        <w:t xml:space="preserve"> atividade criadora</w:t>
      </w:r>
      <w:r>
        <w:rPr>
          <w:rFonts w:ascii="Arial" w:hAnsi="Arial" w:cs="Arial" w:eastAsia="Arial"/>
          <w:sz w:val="24"/>
          <w:lang w:val="pt-BR"/>
        </w:rPr>
        <w:t xml:space="preserve">,</w:t>
      </w:r>
      <w:r>
        <w:rPr>
          <w:rFonts w:ascii="Arial" w:hAnsi="Arial" w:cs="Arial" w:eastAsia="Arial"/>
          <w:sz w:val="24"/>
          <w:lang w:val="pt-BR"/>
        </w:rPr>
        <w:t xml:space="preserve"> não acontece de forma</w:t>
      </w:r>
      <w:r>
        <w:rPr>
          <w:rFonts w:ascii="Arial" w:hAnsi="Arial" w:cs="Arial" w:eastAsia="Arial"/>
          <w:sz w:val="24"/>
        </w:rPr>
        <w:t xml:space="preserve"> isola</w:t>
      </w:r>
      <w:r>
        <w:rPr>
          <w:rFonts w:ascii="Arial" w:hAnsi="Arial" w:cs="Arial" w:eastAsia="Arial"/>
          <w:sz w:val="24"/>
          <w:lang w:val="pt-BR"/>
        </w:rPr>
        <w:t xml:space="preserve">da</w:t>
      </w:r>
      <w:r>
        <w:rPr>
          <w:rFonts w:ascii="Arial" w:hAnsi="Arial" w:cs="Arial" w:eastAsia="Arial"/>
          <w:sz w:val="24"/>
        </w:rPr>
        <w:t xml:space="preserve">, </w:t>
      </w:r>
      <w:r>
        <w:rPr>
          <w:rFonts w:ascii="Arial" w:hAnsi="Arial" w:cs="Arial" w:eastAsia="Arial"/>
          <w:sz w:val="24"/>
          <w:lang w:val="pt-BR"/>
        </w:rPr>
        <w:t xml:space="preserve">mas </w:t>
      </w:r>
      <w:r>
        <w:rPr>
          <w:rFonts w:ascii="Arial" w:hAnsi="Arial" w:cs="Arial" w:eastAsia="Arial"/>
          <w:sz w:val="24"/>
        </w:rPr>
        <w:t xml:space="preserve">em um sistema de relações que </w:t>
      </w:r>
      <w:r>
        <w:rPr>
          <w:rFonts w:ascii="Arial" w:hAnsi="Arial" w:cs="Arial" w:eastAsia="Arial"/>
          <w:sz w:val="24"/>
          <w:lang w:val="pt-BR"/>
        </w:rPr>
        <w:t xml:space="preserve">acaba por gerar</w:t>
      </w:r>
      <w:r>
        <w:rPr>
          <w:rFonts w:ascii="Arial" w:hAnsi="Arial" w:cs="Arial" w:eastAsia="Arial"/>
          <w:sz w:val="24"/>
        </w:rPr>
        <w:t xml:space="preserve"> pertencimento social.</w:t>
      </w:r>
      <w:r/>
    </w:p>
    <w:p>
      <w:pPr>
        <w:pStyle w:val="143"/>
        <w:ind w:firstLine="720"/>
        <w:jc w:val="both"/>
        <w:spacing w:lineRule="auto" w:line="360" w:after="0"/>
        <w:rPr>
          <w:rFonts w:ascii="Arial" w:hAnsi="Arial" w:cs="Arial" w:eastAsia="Arial"/>
          <w:sz w:val="24"/>
          <w:szCs w:val="24"/>
          <w:lang w:val="pt-BR"/>
        </w:rPr>
      </w:pPr>
      <w:r>
        <w:rPr>
          <w:rFonts w:ascii="Arial" w:hAnsi="Arial" w:cs="Arial" w:eastAsia="Arial"/>
          <w:sz w:val="24"/>
        </w:rPr>
        <w:t xml:space="preserve">A</w:t>
      </w:r>
      <w:r>
        <w:rPr>
          <w:rFonts w:ascii="Arial" w:hAnsi="Arial" w:cs="Arial" w:eastAsia="Arial"/>
          <w:sz w:val="24"/>
        </w:rPr>
        <w:t xml:space="preserve">o pensar o conceito de Prática Educativa sob a perspectiva da Teoria da Aprendizagem Social de Ettiene Wenger, voltamos o olhar para uma atividade orientada que abre espaços de negociação de formas de participação, de compartilhamento de </w:t>
      </w:r>
      <w:r>
        <w:rPr>
          <w:rFonts w:ascii="Arial" w:hAnsi="Arial" w:cs="Arial" w:eastAsia="Arial"/>
          <w:sz w:val="24"/>
          <w:szCs w:val="24"/>
        </w:rPr>
        <w:t xml:space="preserve">saberes e conhecimentos, onde cada indivíduo, com seus valores e interesses, de forma mútua, participa e atribui sentido a esses saberes.</w:t>
      </w:r>
      <w:r>
        <w:rPr>
          <w:rFonts w:ascii="Arial" w:hAnsi="Arial" w:cs="Arial" w:eastAsia="Arial"/>
          <w:sz w:val="24"/>
          <w:szCs w:val="24"/>
          <w:lang w:val="pt-BR"/>
        </w:rPr>
        <w:t xml:space="preserve"> </w:t>
      </w:r>
      <w:r/>
    </w:p>
    <w:p>
      <w:pPr>
        <w:pStyle w:val="143"/>
        <w:ind w:firstLine="720"/>
        <w:jc w:val="both"/>
        <w:spacing w:lineRule="auto" w:line="360" w:after="0"/>
        <w:rPr>
          <w:rFonts w:ascii="Arial" w:hAnsi="Arial" w:cs="Arial" w:eastAsia="Arial"/>
          <w:sz w:val="24"/>
          <w:lang w:val="pt-BR"/>
        </w:rPr>
      </w:pPr>
      <w:r>
        <w:rPr>
          <w:rFonts w:ascii="Arial" w:hAnsi="Arial" w:cs="Arial" w:eastAsia="Arial"/>
          <w:sz w:val="24"/>
          <w:szCs w:val="24"/>
          <w:lang w:val="pt-BR"/>
        </w:rPr>
        <w:t xml:space="preserve">Então,</w:t>
      </w:r>
      <w:r>
        <w:rPr>
          <w:rFonts w:ascii="Arial" w:hAnsi="Arial" w:cs="Arial" w:eastAsia="Arial"/>
          <w:sz w:val="24"/>
          <w:lang w:val="pt-BR"/>
        </w:rPr>
        <w:t xml:space="preserve"> para responder</w:t>
      </w:r>
      <w:r>
        <w:rPr>
          <w:rFonts w:ascii="Arial" w:hAnsi="Arial" w:cs="Arial" w:eastAsia="Arial"/>
          <w:sz w:val="24"/>
          <w:lang w:val="pt-BR"/>
        </w:rPr>
        <w:t xml:space="preserve"> à pergunta inicial "</w:t>
      </w:r>
      <w:r>
        <w:rPr>
          <w:rFonts w:ascii="Arial" w:hAnsi="Arial" w:cs="Arial" w:eastAsia="Arial"/>
          <w:sz w:val="24"/>
        </w:rPr>
        <w:t xml:space="preserve">o que são práticas educativas na educação profissional e tecnológica?</w:t>
      </w:r>
      <w:r>
        <w:rPr>
          <w:rFonts w:ascii="Arial" w:hAnsi="Arial" w:cs="Arial" w:eastAsia="Arial"/>
          <w:sz w:val="24"/>
          <w:lang w:val="pt-BR"/>
        </w:rPr>
        <w:t xml:space="preserve">" devemos</w:t>
      </w:r>
      <w:r>
        <w:rPr>
          <w:rFonts w:ascii="Arial" w:hAnsi="Arial" w:cs="Arial" w:eastAsia="Arial"/>
          <w:sz w:val="24"/>
          <w:lang w:val="pt-BR"/>
        </w:rPr>
        <w:t xml:space="preserve"> compreender que essas práticas devem </w:t>
      </w:r>
      <w:r>
        <w:rPr>
          <w:rFonts w:ascii="Arial" w:hAnsi="Arial" w:cs="Arial" w:eastAsia="Arial"/>
          <w:sz w:val="24"/>
        </w:rPr>
        <w:t xml:space="preserve">considerar o trabalho como princípio educativo</w:t>
      </w:r>
      <w:r>
        <w:rPr>
          <w:rFonts w:ascii="Arial" w:hAnsi="Arial" w:cs="Arial" w:eastAsia="Arial"/>
          <w:sz w:val="24"/>
          <w:lang w:val="pt-BR"/>
        </w:rPr>
        <w:t xml:space="preserve">, a teoria e a prática como fatores indissociáveis e os sujeitos da aprendizagem como </w:t>
      </w:r>
      <w:r>
        <w:rPr>
          <w:rFonts w:ascii="Arial" w:hAnsi="Arial" w:cs="Arial" w:eastAsia="Arial"/>
          <w:sz w:val="24"/>
        </w:rPr>
        <w:t xml:space="preserve">seres sociais</w:t>
      </w:r>
      <w:r>
        <w:rPr>
          <w:rFonts w:ascii="Arial" w:hAnsi="Arial" w:cs="Arial" w:eastAsia="Arial"/>
          <w:sz w:val="24"/>
          <w:lang w:val="pt-BR"/>
        </w:rPr>
        <w:t xml:space="preserve"> e</w:t>
      </w:r>
      <w:r>
        <w:rPr>
          <w:rFonts w:ascii="Arial" w:hAnsi="Arial" w:cs="Arial" w:eastAsia="Arial"/>
          <w:sz w:val="24"/>
        </w:rPr>
        <w:t xml:space="preserve"> históricos, imersos em uma cultura</w:t>
      </w:r>
      <w:r>
        <w:rPr>
          <w:rFonts w:ascii="Arial" w:hAnsi="Arial" w:cs="Arial" w:eastAsia="Arial"/>
          <w:sz w:val="24"/>
          <w:lang w:val="pt-BR"/>
        </w:rPr>
        <w:t xml:space="preserve">. Elas devem ser</w:t>
      </w:r>
      <w:r/>
      <w:r>
        <w:rPr>
          <w:rFonts w:ascii="Arial" w:hAnsi="Arial" w:cs="Arial" w:eastAsia="Arial"/>
          <w:sz w:val="24"/>
          <w:lang w:val="pt-BR"/>
        </w:rPr>
      </w:r>
      <w:r>
        <w:rPr>
          <w:rFonts w:ascii="Arial" w:hAnsi="Arial" w:cs="Arial" w:eastAsia="Arial"/>
          <w:sz w:val="24"/>
          <w:szCs w:val="24"/>
        </w:rPr>
        <w:t xml:space="preserve"> fac</w:t>
      </w:r>
      <w:r>
        <w:rPr>
          <w:rFonts w:ascii="Arial" w:hAnsi="Arial" w:cs="Arial" w:eastAsia="Arial"/>
          <w:sz w:val="24"/>
          <w:szCs w:val="24"/>
        </w:rPr>
        <w:t xml:space="preserve">ilitadoras da participação social do homem ativo nas comunidades sociais, </w:t>
      </w:r>
      <w:r>
        <w:rPr>
          <w:rFonts w:ascii="Arial" w:hAnsi="Arial" w:cs="Arial" w:eastAsia="Arial"/>
          <w:sz w:val="24"/>
          <w:szCs w:val="24"/>
        </w:rPr>
        <w:t xml:space="preserve">construindo identidades, sensação de pertencimento, moldando o fazer e o ser, interpretando e compreendendo aquilo que faz. </w:t>
      </w:r>
      <w:r>
        <w:rPr>
          <w:rFonts w:ascii="Arial" w:hAnsi="Arial" w:cs="Arial" w:eastAsia="Arial"/>
          <w:sz w:val="24"/>
          <w:szCs w:val="24"/>
        </w:rPr>
        <w:t xml:space="preserve">Uma prática como </w:t>
      </w:r>
      <w:r>
        <w:rPr>
          <w:rFonts w:ascii="Arial" w:hAnsi="Arial" w:cs="Arial" w:eastAsia="Arial"/>
          <w:sz w:val="24"/>
          <w:szCs w:val="24"/>
        </w:rPr>
        <w:t xml:space="preserve">um guia de sujeitos</w:t>
      </w:r>
      <w:r>
        <w:rPr>
          <w:rFonts w:ascii="Arial" w:hAnsi="Arial" w:cs="Arial" w:eastAsia="Arial"/>
          <w:sz w:val="24"/>
          <w:szCs w:val="24"/>
        </w:rPr>
        <w:t xml:space="preserve"> por meio de</w:t>
      </w:r>
      <w:r>
        <w:rPr>
          <w:rFonts w:ascii="Arial" w:hAnsi="Arial" w:cs="Arial" w:eastAsia="Arial"/>
          <w:sz w:val="24"/>
          <w:szCs w:val="24"/>
        </w:rPr>
        <w:t xml:space="preserve"> experiências que lhes permitam a construção do conhecimento</w:t>
      </w:r>
      <w:r>
        <w:rPr>
          <w:rFonts w:ascii="Arial" w:hAnsi="Arial" w:cs="Arial" w:eastAsia="Arial"/>
          <w:sz w:val="24"/>
          <w:szCs w:val="24"/>
        </w:rPr>
        <w:t xml:space="preserve">.</w:t>
      </w:r>
      <w:r>
        <w:rPr>
          <w:rFonts w:ascii="Arial" w:hAnsi="Arial" w:cs="Arial" w:eastAsia="Arial"/>
          <w:sz w:val="24"/>
        </w:rPr>
      </w:r>
      <w:r>
        <w:rPr>
          <w:rFonts w:ascii="Arial" w:hAnsi="Arial" w:cs="Arial" w:eastAsia="Arial"/>
          <w:sz w:val="24"/>
        </w:rPr>
      </w:r>
    </w:p>
    <w:p>
      <w:pPr>
        <w:pStyle w:val="143"/>
        <w:ind w:firstLine="860"/>
        <w:jc w:val="both"/>
        <w:spacing w:lineRule="auto" w:line="360" w:after="0"/>
        <w:rPr>
          <w:rFonts w:ascii="Arial" w:hAnsi="Arial" w:cs="Arial" w:eastAsia="Arial"/>
          <w:sz w:val="24"/>
          <w:szCs w:val="24"/>
        </w:rPr>
      </w:pPr>
      <w:r>
        <w:rPr>
          <w:rFonts w:ascii="Arial" w:hAnsi="Arial" w:cs="Arial" w:eastAsia="Arial"/>
          <w:sz w:val="24"/>
          <w:szCs w:val="24"/>
        </w:rPr>
      </w:r>
      <w:r>
        <w:rPr>
          <w:rFonts w:ascii="Arial" w:hAnsi="Arial" w:cs="Arial" w:eastAsia="Arial"/>
          <w:sz w:val="24"/>
        </w:rPr>
        <w:t xml:space="preserve">Assim, </w:t>
      </w:r>
      <w:r>
        <w:rPr>
          <w:rFonts w:ascii="Arial" w:hAnsi="Arial" w:cs="Arial" w:eastAsia="Arial"/>
          <w:sz w:val="24"/>
          <w:szCs w:val="24"/>
        </w:rPr>
        <w:t xml:space="preserve">as CoP, enquanto prática pedagógica, podem ser instrumento de concretização dos princípios e concepções da Educação Profissional e Tecnológica ao possibilitar a interação entre os sujeitos, afinal, sem </w:t>
      </w:r>
      <w:r>
        <w:rPr>
          <w:rFonts w:ascii="Arial" w:hAnsi="Arial" w:cs="Arial" w:eastAsia="Arial"/>
          <w:sz w:val="24"/>
        </w:rPr>
        <w:t xml:space="preserve">um espaço social de interação, não há aprendizagem (WENGER, 1998).</w:t>
      </w:r>
      <w:r>
        <w:rPr>
          <w:rFonts w:ascii="Arial" w:hAnsi="Arial" w:cs="Arial" w:eastAsia="Arial"/>
          <w:sz w:val="24"/>
        </w:rPr>
      </w:r>
      <w:r>
        <w:rPr>
          <w:rFonts w:ascii="Arial" w:hAnsi="Arial" w:cs="Arial" w:eastAsia="Arial"/>
          <w:sz w:val="24"/>
        </w:rPr>
      </w:r>
    </w:p>
    <w:p>
      <w:pPr>
        <w:pStyle w:val="143"/>
        <w:ind w:firstLine="709"/>
        <w:jc w:val="both"/>
        <w:spacing w:lineRule="auto" w:line="360" w:after="0"/>
        <w:rPr>
          <w:rFonts w:ascii="Arial" w:hAnsi="Arial" w:cs="Arial" w:eastAsia="Arial"/>
          <w:sz w:val="24"/>
        </w:rPr>
      </w:pPr>
      <w:r>
        <w:rPr>
          <w:rFonts w:ascii="Arial" w:hAnsi="Arial" w:cs="Arial" w:eastAsia="Arial"/>
          <w:sz w:val="24"/>
        </w:rPr>
      </w:r>
      <w:r>
        <w:rPr>
          <w:rFonts w:ascii="Arial" w:hAnsi="Arial" w:cs="Arial" w:eastAsia="Arial"/>
          <w:sz w:val="24"/>
        </w:rPr>
      </w:r>
    </w:p>
    <w:p>
      <w:pPr>
        <w:pStyle w:val="143"/>
        <w:ind w:firstLine="720"/>
        <w:jc w:val="both"/>
        <w:spacing w:lineRule="auto" w:line="360" w:after="0"/>
        <w:rPr>
          <w:rFonts w:ascii="Arial" w:hAnsi="Arial" w:cs="Arial" w:eastAsia="Arial"/>
          <w:sz w:val="24"/>
        </w:rPr>
      </w:pPr>
      <w:r/>
    </w:p>
    <w:p>
      <w:pPr>
        <w:pStyle w:val="143"/>
        <w:ind w:firstLine="720"/>
        <w:jc w:val="both"/>
        <w:spacing w:lineRule="auto" w:line="360" w:after="0"/>
        <w:rPr>
          <w:rFonts w:ascii="Arial" w:hAnsi="Arial"/>
          <w:sz w:val="24"/>
          <w:szCs w:val="24"/>
        </w:rPr>
        <w:pBdr>
          <w:left w:val="none" w:color="000000" w:sz="0" w:space="0"/>
          <w:top w:val="none" w:color="000000" w:sz="0" w:space="0"/>
          <w:right w:val="none" w:color="000000" w:sz="0" w:space="0"/>
          <w:bottom w:val="single" w:color="FFFFFF" w:sz="4" w:space="0"/>
        </w:pBdr>
      </w:pPr>
      <w:r/>
    </w:p>
    <w:p>
      <w:pPr>
        <w:pStyle w:val="143"/>
        <w:spacing w:lineRule="auto" w:line="240" w:after="288"/>
      </w:pPr>
      <w:r>
        <w:rPr>
          <w:rFonts w:ascii="Arial" w:hAnsi="Arial" w:eastAsia="Times New Roman"/>
          <w:b/>
          <w:sz w:val="24"/>
          <w:szCs w:val="24"/>
        </w:rPr>
        <w:t xml:space="preserve">REFERÊNCIAS</w:t>
      </w:r>
      <w:r/>
    </w:p>
    <w:p>
      <w:pPr>
        <w:pStyle w:val="143"/>
        <w:jc w:val="both"/>
        <w:spacing w:lineRule="auto" w:line="360" w:after="0"/>
      </w:pPr>
      <w:r>
        <w:rPr>
          <w:rFonts w:ascii="Arial" w:hAnsi="Arial"/>
          <w:sz w:val="24"/>
          <w:szCs w:val="24"/>
        </w:rPr>
        <w:t xml:space="preserve">ARAUJO, R. M. de L. RODRIGUES, D. do S. Filosofia da Práxis e Ensino Integrado: uma questão ético-política. In: OLIVEIRA, J. P. G.; RODRUGUES, D. S.; SILVA, J. B. C.; </w:t>
      </w:r>
      <w:r>
        <w:rPr>
          <w:rFonts w:ascii="Arial" w:hAnsi="Arial"/>
          <w:b/>
          <w:sz w:val="24"/>
          <w:szCs w:val="24"/>
        </w:rPr>
        <w:t xml:space="preserve">Jovens, Ensino Médio e Educação Profissional</w:t>
      </w:r>
      <w:r>
        <w:rPr>
          <w:rFonts w:ascii="Arial" w:hAnsi="Arial"/>
          <w:sz w:val="24"/>
          <w:szCs w:val="24"/>
        </w:rPr>
        <w:t xml:space="preserve">. São Paulo: Papirus, 2012.</w:t>
      </w:r>
      <w:r/>
    </w:p>
    <w:p>
      <w:pPr>
        <w:pStyle w:val="143"/>
        <w:jc w:val="both"/>
        <w:spacing w:lineRule="auto" w:line="360" w:after="0"/>
      </w:pPr>
      <w:r>
        <w:rPr>
          <w:rFonts w:ascii="Arial" w:hAnsi="Arial" w:eastAsia="Times New Roman"/>
          <w:color w:val="00000A"/>
          <w:sz w:val="24"/>
          <w:szCs w:val="24"/>
        </w:rPr>
        <w:t xml:space="preserve">BERNARDES, Maria Eliza Mattosinho. Mediações simbólicas na atividade pedagógica: contribuições do enfoque histórico-cultural para o ensino e aprendizagem. 2006. </w:t>
      </w:r>
      <w:r>
        <w:rPr>
          <w:rFonts w:ascii="Arial" w:hAnsi="Arial" w:eastAsia="Times New Roman"/>
          <w:b/>
          <w:color w:val="00000A"/>
          <w:sz w:val="24"/>
          <w:szCs w:val="24"/>
        </w:rPr>
        <w:t xml:space="preserve">Tese</w:t>
      </w:r>
      <w:r>
        <w:rPr>
          <w:rFonts w:ascii="Arial" w:hAnsi="Arial" w:eastAsia="Times New Roman"/>
          <w:color w:val="00000A"/>
          <w:sz w:val="24"/>
          <w:szCs w:val="24"/>
        </w:rPr>
        <w:t xml:space="preserve"> (Doutorado em Educação) - Faculdade de Educação, Universidade de São Paulo, São Paulo, 2006. doi:10.11606/T.48.2006.tde-05122007-145210. Acesso em: 30 mar.18.</w:t>
      </w:r>
      <w:r/>
    </w:p>
    <w:p>
      <w:pPr>
        <w:pStyle w:val="200"/>
        <w:jc w:val="both"/>
        <w:spacing w:lineRule="auto" w:line="360" w:after="0"/>
      </w:pPr>
      <w:r>
        <w:rPr>
          <w:rStyle w:val="168"/>
          <w:rFonts w:ascii="Arial" w:hAnsi="Arial"/>
          <w:color w:val="000000"/>
          <w:sz w:val="24"/>
          <w:szCs w:val="24"/>
          <w:shd w:val="clear" w:color="auto" w:fill="FFFFFF"/>
        </w:rPr>
        <w:t xml:space="preserve">BRASIL. </w:t>
      </w:r>
      <w:r>
        <w:rPr>
          <w:rStyle w:val="168"/>
          <w:rFonts w:ascii="Arial" w:hAnsi="Arial"/>
          <w:b/>
          <w:bCs/>
          <w:color w:val="000000"/>
          <w:sz w:val="24"/>
          <w:szCs w:val="24"/>
          <w:shd w:val="clear" w:color="auto" w:fill="FFFFFF"/>
        </w:rPr>
        <w:t xml:space="preserve">Lei de Criação da Rede Federal de Educação</w:t>
      </w:r>
      <w:r>
        <w:rPr>
          <w:rStyle w:val="168"/>
          <w:rFonts w:ascii="Arial" w:hAnsi="Arial"/>
          <w:b/>
          <w:color w:val="000000"/>
          <w:sz w:val="24"/>
          <w:szCs w:val="24"/>
        </w:rPr>
        <w:t xml:space="preserve"> Profissional, Científica e Tecnológica</w:t>
      </w:r>
      <w:r>
        <w:rPr>
          <w:rStyle w:val="168"/>
          <w:rFonts w:ascii="Arial" w:hAnsi="Arial"/>
          <w:color w:val="000000"/>
          <w:sz w:val="24"/>
          <w:szCs w:val="24"/>
        </w:rPr>
        <w:t xml:space="preserve"> nº 11.892/2008. [on line]: Disponível em: &lt;http://redefederal.mec.gov.br/&gt;, acesso em 26 nov. 2017.</w:t>
      </w:r>
      <w:r/>
    </w:p>
    <w:p>
      <w:pPr>
        <w:pStyle w:val="200"/>
        <w:jc w:val="both"/>
        <w:spacing w:lineRule="auto" w:line="360" w:after="0"/>
      </w:pPr>
      <w:r>
        <w:rPr>
          <w:rStyle w:val="168"/>
          <w:rFonts w:ascii="Arial" w:hAnsi="Arial"/>
          <w:sz w:val="24"/>
          <w:szCs w:val="24"/>
        </w:rPr>
        <w:t xml:space="preserve">BRASIL. </w:t>
      </w:r>
      <w:r>
        <w:rPr>
          <w:rStyle w:val="168"/>
          <w:rFonts w:ascii="Arial" w:hAnsi="Arial"/>
          <w:bCs/>
          <w:sz w:val="24"/>
          <w:szCs w:val="24"/>
        </w:rPr>
        <w:t xml:space="preserve">Educação Profissional Técnica de Nível Médio Integrada ao Ensino Médio. </w:t>
      </w:r>
      <w:r>
        <w:rPr>
          <w:rStyle w:val="168"/>
          <w:rFonts w:ascii="Arial" w:hAnsi="Arial"/>
          <w:b/>
          <w:bCs/>
          <w:sz w:val="24"/>
          <w:szCs w:val="24"/>
        </w:rPr>
        <w:t xml:space="preserve">Documento Base</w:t>
      </w:r>
      <w:r>
        <w:rPr>
          <w:rStyle w:val="168"/>
          <w:rFonts w:ascii="Arial" w:hAnsi="Arial"/>
          <w:sz w:val="24"/>
          <w:szCs w:val="24"/>
        </w:rPr>
        <w:t xml:space="preserve">. Secretaria de Educação Profissional e Tecnológica. 2007.</w:t>
      </w:r>
      <w:r/>
    </w:p>
    <w:p>
      <w:pPr>
        <w:pStyle w:val="143"/>
        <w:jc w:val="both"/>
        <w:spacing w:lineRule="auto" w:line="360" w:after="0"/>
      </w:pPr>
      <w:r>
        <w:rPr>
          <w:rFonts w:ascii="Arial" w:hAnsi="Arial" w:eastAsia="Times New Roman"/>
          <w:color w:val="00000A"/>
          <w:sz w:val="24"/>
          <w:szCs w:val="24"/>
        </w:rPr>
        <w:t xml:space="preserve">FREIRE, Paulo. </w:t>
      </w:r>
      <w:r>
        <w:rPr>
          <w:rFonts w:ascii="Arial" w:hAnsi="Arial" w:eastAsia="Times New Roman"/>
          <w:b/>
          <w:color w:val="00000A"/>
          <w:sz w:val="24"/>
          <w:szCs w:val="24"/>
        </w:rPr>
        <w:t xml:space="preserve">Pedagogia do oprimido</w:t>
      </w:r>
      <w:r>
        <w:rPr>
          <w:rFonts w:ascii="Arial" w:hAnsi="Arial" w:eastAsia="Times New Roman"/>
          <w:color w:val="00000A"/>
          <w:sz w:val="24"/>
          <w:szCs w:val="24"/>
        </w:rPr>
        <w:t xml:space="preserve">. 32.ed. Rio de Janeiro: Paz e Terra, 2002.</w:t>
      </w:r>
      <w:r/>
    </w:p>
    <w:p>
      <w:pPr>
        <w:pStyle w:val="200"/>
        <w:jc w:val="both"/>
        <w:spacing w:lineRule="auto" w:line="360" w:after="0"/>
      </w:pPr>
      <w:r>
        <w:rPr>
          <w:rStyle w:val="168"/>
          <w:rFonts w:ascii="Arial" w:hAnsi="Arial"/>
          <w:sz w:val="24"/>
          <w:szCs w:val="24"/>
        </w:rPr>
        <w:t xml:space="preserve">FRIGOTTO, G.; CIAVATTA, M.; RAMOS, M. </w:t>
      </w:r>
      <w:r>
        <w:rPr>
          <w:rStyle w:val="168"/>
          <w:rFonts w:ascii="Arial" w:hAnsi="Arial"/>
          <w:b/>
          <w:bCs/>
          <w:sz w:val="24"/>
          <w:szCs w:val="24"/>
        </w:rPr>
        <w:t xml:space="preserve">O trabalho como princípio educativo no projeto de educação integral de trabalhadores</w:t>
      </w:r>
      <w:r>
        <w:rPr>
          <w:rStyle w:val="168"/>
          <w:rFonts w:ascii="Arial" w:hAnsi="Arial"/>
          <w:sz w:val="24"/>
          <w:szCs w:val="24"/>
        </w:rPr>
        <w:t xml:space="preserve">. Disponível em &lt;http://www.pb.iffarroupilha.edu.br/site/midias/arquivos/201179171745208frigotto_ciavatta_ramos_o_trabalho_como_principio_educativo.pdf&gt;, acesso em 24 out. 2017.</w:t>
      </w:r>
      <w:r/>
    </w:p>
    <w:p>
      <w:pPr>
        <w:pStyle w:val="200"/>
        <w:jc w:val="both"/>
        <w:spacing w:lineRule="auto" w:line="360" w:after="0"/>
        <w:rPr>
          <w:lang w:val="en-US"/>
        </w:rPr>
      </w:pPr>
      <w:r>
        <w:rPr>
          <w:rFonts w:ascii="Arial" w:hAnsi="Arial"/>
          <w:sz w:val="24"/>
          <w:szCs w:val="24"/>
          <w:lang w:val="en-US"/>
        </w:rPr>
        <w:t xml:space="preserve">GHERARDI, S. A symbolic approach to competence development. </w:t>
      </w:r>
      <w:r>
        <w:rPr>
          <w:rFonts w:ascii="Arial" w:hAnsi="Arial"/>
          <w:b/>
          <w:sz w:val="24"/>
          <w:szCs w:val="24"/>
          <w:lang w:val="en-US"/>
        </w:rPr>
        <w:t xml:space="preserve">Human Resource Development International</w:t>
      </w:r>
      <w:r>
        <w:rPr>
          <w:rFonts w:ascii="Arial" w:hAnsi="Arial"/>
          <w:sz w:val="24"/>
          <w:szCs w:val="24"/>
          <w:lang w:val="en-US"/>
        </w:rPr>
        <w:t xml:space="preserve">, v. 2, n. 4, 1999.</w:t>
      </w:r>
      <w:r>
        <w:rPr>
          <w:lang w:val="en-US"/>
        </w:rPr>
      </w:r>
      <w:r/>
    </w:p>
    <w:p>
      <w:pPr>
        <w:pStyle w:val="143"/>
        <w:jc w:val="both"/>
        <w:spacing w:lineRule="auto" w:line="360" w:after="0"/>
        <w:rPr>
          <w:lang w:val="en-US"/>
        </w:rPr>
      </w:pPr>
      <w:r>
        <w:rPr>
          <w:rFonts w:ascii="Arial" w:hAnsi="Arial"/>
          <w:sz w:val="24"/>
          <w:szCs w:val="24"/>
          <w:lang w:val="en-US"/>
        </w:rPr>
        <w:t xml:space="preserve">______________. </w:t>
      </w:r>
      <w:r>
        <w:rPr>
          <w:rFonts w:ascii="Arial" w:hAnsi="Arial"/>
          <w:b/>
          <w:sz w:val="24"/>
          <w:szCs w:val="24"/>
          <w:lang w:val="en-US"/>
        </w:rPr>
        <w:t xml:space="preserve">Organizational Knowledge</w:t>
      </w:r>
      <w:r>
        <w:rPr>
          <w:rFonts w:ascii="Arial" w:hAnsi="Arial"/>
          <w:sz w:val="24"/>
          <w:szCs w:val="24"/>
          <w:lang w:val="en-US"/>
        </w:rPr>
        <w:t xml:space="preserve">: The Texture of Workplace Learning. Oxford: Blackwell Publishing, 2006. </w:t>
      </w:r>
      <w:r>
        <w:rPr>
          <w:lang w:val="en-US"/>
        </w:rPr>
      </w:r>
      <w:r/>
    </w:p>
    <w:p>
      <w:pPr>
        <w:pStyle w:val="143"/>
        <w:jc w:val="both"/>
        <w:spacing w:lineRule="auto" w:line="360" w:after="0"/>
        <w:rPr>
          <w:lang w:val="en-US"/>
        </w:rPr>
      </w:pPr>
      <w:r>
        <w:rPr>
          <w:rFonts w:ascii="Arial" w:hAnsi="Arial"/>
          <w:sz w:val="24"/>
          <w:szCs w:val="24"/>
          <w:shd w:val="clear" w:color="auto" w:fill="FFFFFF"/>
          <w:lang w:val="en-US"/>
        </w:rPr>
        <w:t xml:space="preserve">______________. Introduction: the critical power of the 'practice lens'.</w:t>
      </w:r>
      <w:r>
        <w:rPr>
          <w:rStyle w:val="177"/>
          <w:rFonts w:ascii="Arial" w:hAnsi="Arial"/>
          <w:sz w:val="24"/>
          <w:szCs w:val="24"/>
          <w:shd w:val="clear" w:color="auto" w:fill="FFFFFF"/>
          <w:lang w:val="en-US"/>
        </w:rPr>
        <w:t xml:space="preserve"> </w:t>
      </w:r>
      <w:r>
        <w:rPr>
          <w:rFonts w:ascii="Arial" w:hAnsi="Arial"/>
          <w:b/>
          <w:iCs/>
          <w:sz w:val="24"/>
          <w:szCs w:val="24"/>
          <w:shd w:val="clear" w:color="auto" w:fill="FFFFFF"/>
          <w:lang w:val="en-US"/>
        </w:rPr>
        <w:t xml:space="preserve">Management Learning</w:t>
      </w:r>
      <w:r>
        <w:rPr>
          <w:rFonts w:ascii="Arial" w:hAnsi="Arial"/>
          <w:sz w:val="24"/>
          <w:szCs w:val="24"/>
          <w:shd w:val="clear" w:color="auto" w:fill="FFFFFF"/>
          <w:lang w:val="en-US"/>
        </w:rPr>
        <w:t xml:space="preserve">, v. 40, n. 2, p. 115-128, 2009</w:t>
      </w:r>
      <w:r>
        <w:rPr>
          <w:lang w:val="en-US"/>
        </w:rPr>
      </w:r>
      <w:r/>
    </w:p>
    <w:p>
      <w:pPr>
        <w:pStyle w:val="143"/>
        <w:jc w:val="both"/>
        <w:spacing w:lineRule="auto" w:line="360" w:after="0"/>
      </w:pPr>
      <w:r>
        <w:rPr>
          <w:rFonts w:ascii="Arial" w:hAnsi="Arial"/>
          <w:sz w:val="24"/>
          <w:szCs w:val="24"/>
          <w:lang w:val="en-US"/>
        </w:rPr>
        <w:t xml:space="preserve">GHERARDI, S.; NICOLINI, D.; ODELLA, F. Toward a Social Understanding of How People Learn in Organizations: the notion o</w:t>
      </w:r>
      <w:r>
        <w:rPr>
          <w:rFonts w:ascii="Arial" w:hAnsi="Arial"/>
          <w:sz w:val="24"/>
          <w:szCs w:val="24"/>
          <w:lang w:val="en-US"/>
        </w:rPr>
        <w:t xml:space="preserve">f</w:t>
      </w:r>
      <w:r>
        <w:rPr>
          <w:rFonts w:ascii="Arial" w:hAnsi="Arial"/>
          <w:sz w:val="24"/>
          <w:szCs w:val="24"/>
          <w:lang w:val="en-US"/>
        </w:rPr>
        <w:t xml:space="preserve"> situated curriculum. </w:t>
      </w:r>
      <w:r>
        <w:rPr>
          <w:rFonts w:ascii="Arial" w:hAnsi="Arial"/>
          <w:b/>
          <w:sz w:val="24"/>
          <w:szCs w:val="24"/>
        </w:rPr>
        <w:t xml:space="preserve">Management Learning</w:t>
      </w:r>
      <w:r>
        <w:rPr>
          <w:rFonts w:ascii="Arial" w:hAnsi="Arial"/>
          <w:sz w:val="24"/>
          <w:szCs w:val="24"/>
        </w:rPr>
        <w:t xml:space="preserve">, v. 29, n. 3, 1998.</w:t>
      </w:r>
      <w:r/>
    </w:p>
    <w:p>
      <w:pPr>
        <w:pStyle w:val="200"/>
        <w:jc w:val="both"/>
        <w:spacing w:lineRule="auto" w:line="360" w:after="0"/>
      </w:pPr>
      <w:r>
        <w:rPr>
          <w:rFonts w:ascii="Arial" w:hAnsi="Arial"/>
          <w:sz w:val="24"/>
          <w:szCs w:val="24"/>
        </w:rPr>
        <w:t xml:space="preserve">GRAMSCI, A. </w:t>
      </w:r>
      <w:r>
        <w:rPr>
          <w:rFonts w:ascii="Arial" w:hAnsi="Arial"/>
          <w:b/>
          <w:sz w:val="24"/>
          <w:szCs w:val="24"/>
        </w:rPr>
        <w:t xml:space="preserve">Cadernos do Cárcere</w:t>
      </w:r>
      <w:r>
        <w:rPr>
          <w:rFonts w:ascii="Arial" w:hAnsi="Arial"/>
          <w:sz w:val="24"/>
          <w:szCs w:val="24"/>
        </w:rPr>
        <w:t xml:space="preserve">, volume 2; edição e tradução, Carlos Nelson Coutinho; co edição, Luiz Sérgio Henrique e Marco Aurélio Nogueira. 3ª ed. Rio de Janeiro: Civilização Brasileira, 2004.</w:t>
      </w:r>
      <w:r/>
    </w:p>
    <w:p>
      <w:pPr>
        <w:pStyle w:val="143"/>
        <w:jc w:val="both"/>
        <w:spacing w:lineRule="auto" w:line="360" w:after="0"/>
      </w:pPr>
      <w:r>
        <w:rPr>
          <w:rFonts w:ascii="Arial" w:hAnsi="Arial" w:eastAsia="Times New Roman"/>
          <w:color w:val="00000A"/>
          <w:sz w:val="24"/>
          <w:szCs w:val="24"/>
        </w:rPr>
        <w:t xml:space="preserve">ILLERIS, K. </w:t>
      </w:r>
      <w:r>
        <w:rPr>
          <w:rFonts w:ascii="Arial" w:hAnsi="Arial" w:eastAsia="Times New Roman"/>
          <w:b/>
          <w:color w:val="00000A"/>
          <w:sz w:val="24"/>
          <w:szCs w:val="24"/>
        </w:rPr>
        <w:t xml:space="preserve">Teorias contemporâneas da aprendizagem</w:t>
      </w:r>
      <w:r>
        <w:rPr>
          <w:rFonts w:ascii="Arial" w:hAnsi="Arial" w:eastAsia="Times New Roman"/>
          <w:color w:val="00000A"/>
          <w:sz w:val="24"/>
          <w:szCs w:val="24"/>
        </w:rPr>
        <w:t xml:space="preserve">. Porto Alegre: Penso, 2013.</w:t>
      </w:r>
      <w:r/>
    </w:p>
    <w:p>
      <w:pPr>
        <w:pStyle w:val="200"/>
        <w:jc w:val="both"/>
        <w:spacing w:lineRule="auto" w:line="360" w:after="0"/>
        <w:rPr>
          <w:lang w:val="en-US"/>
        </w:rPr>
      </w:pPr>
      <w:r>
        <w:rPr>
          <w:rFonts w:ascii="Arial" w:hAnsi="Arial"/>
          <w:sz w:val="24"/>
          <w:szCs w:val="24"/>
        </w:rPr>
        <w:t xml:space="preserve">JAROSZEWSKI, T. M. Extensão e significação da categoria de </w:t>
      </w:r>
      <w:r>
        <w:rPr>
          <w:rFonts w:ascii="Arial" w:hAnsi="Arial"/>
          <w:iCs/>
          <w:sz w:val="24"/>
          <w:szCs w:val="24"/>
        </w:rPr>
        <w:t xml:space="preserve">práxis</w:t>
      </w:r>
      <w:r>
        <w:rPr>
          <w:rFonts w:ascii="Arial" w:hAnsi="Arial"/>
          <w:sz w:val="24"/>
          <w:szCs w:val="24"/>
        </w:rPr>
        <w:t xml:space="preserve">. Em V. de Magalhães-Vilhena</w:t>
      </w:r>
      <w:r>
        <w:rPr>
          <w:rFonts w:ascii="Arial" w:hAnsi="Arial"/>
          <w:sz w:val="24"/>
          <w:szCs w:val="24"/>
        </w:rPr>
        <w:t xml:space="preserve">.</w:t>
      </w:r>
      <w:r>
        <w:rPr>
          <w:rFonts w:ascii="Arial" w:hAnsi="Arial"/>
          <w:sz w:val="24"/>
          <w:szCs w:val="24"/>
        </w:rPr>
        <w:t xml:space="preserve"> </w:t>
      </w:r>
      <w:r>
        <w:rPr>
          <w:rFonts w:ascii="Arial" w:hAnsi="Arial"/>
          <w:b/>
          <w:iCs/>
          <w:sz w:val="24"/>
          <w:szCs w:val="24"/>
        </w:rPr>
        <w:t xml:space="preserve">Práxis</w:t>
      </w:r>
      <w:r>
        <w:rPr>
          <w:rFonts w:ascii="Arial" w:hAnsi="Arial"/>
          <w:iCs/>
          <w:sz w:val="24"/>
          <w:szCs w:val="24"/>
        </w:rPr>
        <w:t xml:space="preserve">: a categoria materialista de prática social</w:t>
      </w:r>
      <w:r>
        <w:rPr>
          <w:rFonts w:ascii="Arial" w:hAnsi="Arial"/>
          <w:sz w:val="24"/>
          <w:szCs w:val="24"/>
        </w:rPr>
        <w:t xml:space="preserve"> (Vol. </w:t>
      </w:r>
      <w:r>
        <w:rPr>
          <w:rFonts w:ascii="Arial" w:hAnsi="Arial"/>
          <w:sz w:val="24"/>
          <w:szCs w:val="24"/>
          <w:lang w:val="en-US"/>
        </w:rPr>
        <w:t xml:space="preserve">II, pp. 9-37). Lisboa: Livros Horizontes, 1980.</w:t>
      </w:r>
      <w:r>
        <w:rPr>
          <w:lang w:val="en-US"/>
        </w:rPr>
      </w:r>
      <w:r/>
    </w:p>
    <w:p>
      <w:pPr>
        <w:pStyle w:val="143"/>
        <w:jc w:val="both"/>
        <w:spacing w:lineRule="auto" w:line="360" w:after="0"/>
      </w:pPr>
      <w:r>
        <w:rPr>
          <w:rFonts w:ascii="Arial" w:hAnsi="Arial" w:eastAsia="Times New Roman"/>
          <w:color w:val="00000A"/>
          <w:sz w:val="24"/>
          <w:szCs w:val="24"/>
          <w:lang w:val="en-US"/>
        </w:rPr>
        <w:t xml:space="preserve">LAVE, J.; WENGER, E. </w:t>
      </w:r>
      <w:r>
        <w:rPr>
          <w:rFonts w:ascii="Arial" w:hAnsi="Arial" w:eastAsia="Times New Roman"/>
          <w:b/>
          <w:color w:val="00000A"/>
          <w:sz w:val="24"/>
          <w:szCs w:val="24"/>
          <w:lang w:val="en-US"/>
        </w:rPr>
        <w:t xml:space="preserve">Situated learning</w:t>
      </w:r>
      <w:r>
        <w:rPr>
          <w:rFonts w:ascii="Arial" w:hAnsi="Arial" w:eastAsia="Times New Roman"/>
          <w:color w:val="00000A"/>
          <w:sz w:val="24"/>
          <w:szCs w:val="24"/>
          <w:lang w:val="en-US"/>
        </w:rPr>
        <w:t xml:space="preserve">: legitimate peripheral participation. </w:t>
      </w:r>
      <w:r>
        <w:rPr>
          <w:rFonts w:ascii="Arial" w:hAnsi="Arial" w:eastAsia="Times New Roman"/>
          <w:color w:val="00000A"/>
          <w:sz w:val="24"/>
          <w:szCs w:val="24"/>
        </w:rPr>
        <w:t xml:space="preserve">Cambridge: Cambridge University Press, 1991. Acesso em 03 abr. 18.</w:t>
      </w:r>
      <w:r/>
    </w:p>
    <w:p>
      <w:pPr>
        <w:pStyle w:val="200"/>
        <w:jc w:val="both"/>
        <w:spacing w:lineRule="auto" w:line="360" w:after="0"/>
      </w:pPr>
      <w:r>
        <w:rPr>
          <w:rStyle w:val="168"/>
          <w:rFonts w:ascii="Arial" w:hAnsi="Arial"/>
          <w:sz w:val="24"/>
          <w:szCs w:val="24"/>
        </w:rPr>
        <w:t xml:space="preserve">LESSA, S.E.C. A educação profissional como estratégia para a integração periférica dos pobres: elementos históricos para reflexão. </w:t>
      </w:r>
      <w:r>
        <w:rPr>
          <w:rStyle w:val="168"/>
          <w:rFonts w:ascii="Arial" w:hAnsi="Arial"/>
          <w:b/>
          <w:bCs/>
          <w:sz w:val="24"/>
          <w:szCs w:val="24"/>
        </w:rPr>
        <w:t xml:space="preserve">III Jornada Internacional de Políticas Públicas</w:t>
      </w:r>
      <w:r>
        <w:rPr>
          <w:rStyle w:val="168"/>
          <w:rFonts w:ascii="Arial" w:hAnsi="Arial"/>
          <w:b/>
          <w:sz w:val="24"/>
          <w:szCs w:val="24"/>
        </w:rPr>
        <w:t xml:space="preserve">.</w:t>
      </w:r>
      <w:r>
        <w:rPr>
          <w:rStyle w:val="168"/>
          <w:rFonts w:ascii="Arial" w:hAnsi="Arial"/>
          <w:sz w:val="24"/>
          <w:szCs w:val="24"/>
        </w:rPr>
        <w:t xml:space="preserve"> São Luís, Maranhão, 2007. Acesso em 25 nov. 2017.</w:t>
      </w:r>
      <w:r/>
    </w:p>
    <w:p>
      <w:pPr>
        <w:pStyle w:val="143"/>
        <w:jc w:val="both"/>
        <w:spacing w:lineRule="auto" w:line="360" w:after="0"/>
      </w:pPr>
      <w:r>
        <w:rPr>
          <w:rFonts w:ascii="Arial" w:hAnsi="Arial" w:eastAsia="Times New Roman"/>
          <w:color w:val="00000A"/>
          <w:sz w:val="24"/>
          <w:szCs w:val="24"/>
        </w:rPr>
        <w:t xml:space="preserve">MARQUES, L. P.; MARQUES, C. A. </w:t>
      </w:r>
      <w:r>
        <w:rPr>
          <w:rFonts w:ascii="Arial" w:hAnsi="Arial" w:eastAsia="Times New Roman"/>
          <w:b/>
          <w:color w:val="00000A"/>
          <w:sz w:val="24"/>
          <w:szCs w:val="24"/>
        </w:rPr>
        <w:t xml:space="preserve">Dialogando com Paulo Freire e Vygotsky sobre Educação.</w:t>
      </w:r>
      <w:r>
        <w:rPr>
          <w:rFonts w:ascii="Arial" w:hAnsi="Arial" w:eastAsia="Times New Roman"/>
          <w:color w:val="00000A"/>
          <w:sz w:val="24"/>
          <w:szCs w:val="24"/>
        </w:rPr>
        <w:t xml:space="preserve"> Disponível em: &lt;http://www.anped.org.br/sites/default/files/gt13-1661-int.pdf&gt;. Acesso em: 14 mar. 2018.</w:t>
      </w:r>
      <w:r/>
    </w:p>
    <w:p>
      <w:pPr>
        <w:pStyle w:val="200"/>
        <w:jc w:val="both"/>
        <w:spacing w:lineRule="auto" w:line="360" w:after="0"/>
      </w:pPr>
      <w:r>
        <w:rPr>
          <w:rStyle w:val="168"/>
          <w:rFonts w:ascii="Arial" w:hAnsi="Arial"/>
          <w:sz w:val="24"/>
          <w:szCs w:val="24"/>
        </w:rPr>
        <w:t xml:space="preserve">MOURA, D.H. </w:t>
      </w:r>
      <w:r>
        <w:rPr>
          <w:rStyle w:val="168"/>
          <w:rFonts w:ascii="Arial" w:hAnsi="Arial"/>
          <w:b/>
          <w:sz w:val="24"/>
          <w:szCs w:val="24"/>
        </w:rPr>
        <w:t xml:space="preserve">A relação entre a educação profissional e a educação básica na Conae 2010: </w:t>
      </w:r>
      <w:r>
        <w:rPr>
          <w:rStyle w:val="168"/>
          <w:rFonts w:ascii="Arial" w:hAnsi="Arial"/>
          <w:sz w:val="24"/>
          <w:szCs w:val="24"/>
        </w:rPr>
        <w:t xml:space="preserve">possibilidades e limites para a construção do novo Plano Nacional de Educação. </w:t>
      </w:r>
      <w:r>
        <w:rPr>
          <w:rStyle w:val="168"/>
          <w:rFonts w:ascii="Arial" w:hAnsi="Arial"/>
          <w:bCs/>
          <w:sz w:val="24"/>
          <w:szCs w:val="24"/>
        </w:rPr>
        <w:t xml:space="preserve">Educ. Soc.</w:t>
      </w:r>
      <w:r>
        <w:rPr>
          <w:rStyle w:val="168"/>
          <w:rFonts w:ascii="Arial" w:hAnsi="Arial"/>
          <w:sz w:val="24"/>
          <w:szCs w:val="24"/>
        </w:rPr>
        <w:t xml:space="preserve">, Campinas, 2010. Disponível em &lt; http://www.cedes.unicamp.br&gt;, acesso em 03 dez 2017.</w:t>
      </w:r>
      <w:r/>
    </w:p>
    <w:p>
      <w:pPr>
        <w:pStyle w:val="200"/>
        <w:jc w:val="both"/>
        <w:spacing w:lineRule="auto" w:line="360" w:after="0"/>
      </w:pPr>
      <w:r>
        <w:rPr>
          <w:rStyle w:val="168"/>
          <w:rFonts w:ascii="Arial" w:hAnsi="Arial"/>
          <w:sz w:val="24"/>
          <w:szCs w:val="24"/>
        </w:rPr>
        <w:t xml:space="preserve">NASCIMENTO, M.I.M; SBARDELOTTO, D.K. </w:t>
      </w:r>
      <w:r>
        <w:rPr>
          <w:rStyle w:val="168"/>
          <w:rFonts w:ascii="Arial" w:hAnsi="Arial"/>
          <w:b/>
          <w:sz w:val="24"/>
          <w:szCs w:val="24"/>
        </w:rPr>
        <w:t xml:space="preserve">A escola unitária</w:t>
      </w:r>
      <w:r>
        <w:rPr>
          <w:rStyle w:val="168"/>
          <w:rFonts w:ascii="Arial" w:hAnsi="Arial"/>
          <w:sz w:val="24"/>
          <w:szCs w:val="24"/>
        </w:rPr>
        <w:t xml:space="preserve">: educação e trabalho em Gramsci. </w:t>
      </w:r>
      <w:r>
        <w:rPr>
          <w:rStyle w:val="168"/>
          <w:rFonts w:ascii="Arial" w:hAnsi="Arial"/>
          <w:bCs/>
          <w:sz w:val="24"/>
          <w:szCs w:val="24"/>
        </w:rPr>
        <w:t xml:space="preserve">Revista Histedbr on-line</w:t>
      </w:r>
      <w:r>
        <w:rPr>
          <w:rStyle w:val="168"/>
          <w:rFonts w:ascii="Arial" w:hAnsi="Arial"/>
          <w:sz w:val="24"/>
          <w:szCs w:val="24"/>
        </w:rPr>
        <w:t xml:space="preserve">, n. 30. Campinas, 2008. Acesso em 14 nov. 2017.</w:t>
      </w:r>
      <w:r/>
    </w:p>
    <w:p>
      <w:pPr>
        <w:pStyle w:val="143"/>
        <w:jc w:val="both"/>
        <w:spacing w:lineRule="auto" w:line="360" w:after="0"/>
      </w:pPr>
      <w:r>
        <w:rPr>
          <w:rFonts w:ascii="Arial" w:hAnsi="Arial" w:eastAsia="Times New Roman"/>
          <w:color w:val="00000A"/>
          <w:sz w:val="24"/>
          <w:szCs w:val="24"/>
        </w:rPr>
        <w:t xml:space="preserve">NOSELLA, P.; AZEVEDO, M. L. N. </w:t>
      </w:r>
      <w:r>
        <w:rPr>
          <w:rFonts w:ascii="Arial" w:hAnsi="Arial" w:eastAsia="Times New Roman"/>
          <w:b/>
          <w:color w:val="00000A"/>
          <w:sz w:val="24"/>
          <w:szCs w:val="24"/>
        </w:rPr>
        <w:t xml:space="preserve">Escola unitária e princípio educativo em Gramsci:</w:t>
      </w:r>
      <w:r>
        <w:rPr>
          <w:rFonts w:ascii="Arial" w:hAnsi="Arial" w:eastAsia="Times New Roman"/>
          <w:color w:val="00000A"/>
          <w:sz w:val="24"/>
          <w:szCs w:val="24"/>
        </w:rPr>
        <w:t xml:space="preserve">  ensaios de compreensão à luz do caderno 12.&lt;http://www.periodicos.uem.br/ojs/index.php/TeorPratEduc/article/view/20180&gt;. Acesso em: 14 mar. 2018.</w:t>
      </w:r>
      <w:r/>
    </w:p>
    <w:p>
      <w:pPr>
        <w:pStyle w:val="143"/>
        <w:jc w:val="both"/>
        <w:spacing w:lineRule="auto" w:line="360" w:after="0"/>
        <w:tabs>
          <w:tab w:val="left" w:pos="1273"/>
        </w:tabs>
      </w:pPr>
      <w:r>
        <w:rPr>
          <w:rFonts w:ascii="Arial" w:hAnsi="Arial"/>
          <w:sz w:val="24"/>
          <w:szCs w:val="24"/>
        </w:rPr>
        <w:t xml:space="preserve">PAIXAO, M.V. Sentido e Participação na Atividade de Panificação das Mulheres do Empreendimento Econômico Solidário 8 de Junho sob a ótica da Teoria Social da Aprendizagem. </w:t>
      </w:r>
      <w:r>
        <w:rPr>
          <w:rFonts w:ascii="Arial" w:hAnsi="Arial"/>
          <w:b/>
          <w:sz w:val="24"/>
          <w:szCs w:val="24"/>
        </w:rPr>
        <w:t xml:space="preserve">Tese de Doutorado</w:t>
      </w:r>
      <w:r>
        <w:rPr>
          <w:rFonts w:ascii="Arial" w:hAnsi="Arial"/>
          <w:sz w:val="24"/>
          <w:szCs w:val="24"/>
        </w:rPr>
        <w:t xml:space="preserve">. Curitiba: Universidade Positivo, 2014.</w:t>
      </w:r>
      <w:r/>
    </w:p>
    <w:p>
      <w:pPr>
        <w:pStyle w:val="200"/>
        <w:jc w:val="both"/>
        <w:spacing w:lineRule="auto" w:line="360" w:after="0"/>
      </w:pPr>
      <w:r>
        <w:rPr>
          <w:rStyle w:val="168"/>
          <w:rFonts w:ascii="Arial" w:hAnsi="Arial"/>
          <w:sz w:val="24"/>
          <w:szCs w:val="24"/>
        </w:rPr>
        <w:t xml:space="preserve">SAVIANI, D. </w:t>
      </w:r>
      <w:r>
        <w:rPr>
          <w:rStyle w:val="168"/>
          <w:rFonts w:ascii="Arial" w:hAnsi="Arial"/>
          <w:b/>
          <w:bCs/>
          <w:sz w:val="24"/>
          <w:szCs w:val="24"/>
        </w:rPr>
        <w:t xml:space="preserve">Trabalho e Educação</w:t>
      </w:r>
      <w:r>
        <w:rPr>
          <w:rStyle w:val="168"/>
          <w:rFonts w:ascii="Arial" w:hAnsi="Arial"/>
          <w:bCs/>
          <w:sz w:val="24"/>
          <w:szCs w:val="24"/>
        </w:rPr>
        <w:t xml:space="preserve">: fundamentos ontológicos e históricos</w:t>
      </w:r>
      <w:r>
        <w:rPr>
          <w:rStyle w:val="168"/>
          <w:rFonts w:ascii="Arial" w:hAnsi="Arial"/>
          <w:sz w:val="24"/>
          <w:szCs w:val="24"/>
        </w:rPr>
        <w:t xml:space="preserve">. Revista Brasileira de Educação, v. 12, nº 34. Rio de Janeiro, 2007.</w:t>
      </w:r>
      <w:r/>
    </w:p>
    <w:p>
      <w:pPr>
        <w:pStyle w:val="200"/>
        <w:jc w:val="both"/>
        <w:spacing w:lineRule="auto" w:line="360" w:after="0"/>
      </w:pPr>
      <w:r>
        <w:rPr>
          <w:rStyle w:val="168"/>
          <w:rFonts w:ascii="Arial" w:hAnsi="Arial"/>
          <w:sz w:val="24"/>
          <w:szCs w:val="24"/>
        </w:rPr>
        <w:t xml:space="preserve">SAVIANI, D. </w:t>
      </w:r>
      <w:r>
        <w:rPr>
          <w:rStyle w:val="168"/>
          <w:rFonts w:ascii="Arial" w:hAnsi="Arial"/>
          <w:b/>
          <w:bCs/>
          <w:sz w:val="24"/>
          <w:szCs w:val="24"/>
        </w:rPr>
        <w:t xml:space="preserve">Escola e Democracia</w:t>
      </w:r>
      <w:r>
        <w:rPr>
          <w:rStyle w:val="168"/>
          <w:rFonts w:ascii="Arial" w:hAnsi="Arial"/>
          <w:sz w:val="24"/>
          <w:szCs w:val="24"/>
        </w:rPr>
        <w:t xml:space="preserve">. 42ª Edição. Autores Associados: Campinas, 2012.</w:t>
      </w:r>
      <w:r/>
    </w:p>
    <w:p>
      <w:pPr>
        <w:pStyle w:val="143"/>
        <w:jc w:val="both"/>
        <w:spacing w:lineRule="auto" w:line="360" w:after="0"/>
      </w:pPr>
      <w:r>
        <w:rPr>
          <w:rFonts w:ascii="Arial" w:hAnsi="Arial"/>
          <w:sz w:val="24"/>
          <w:szCs w:val="24"/>
        </w:rPr>
        <w:t xml:space="preserve">SCHETTINI, R.H. A contribuição de Vygotsky para a Teoria da Atividade Sócio</w:t>
      </w:r>
      <w:r>
        <w:rPr>
          <w:rFonts w:ascii="Arial" w:hAnsi="Arial"/>
          <w:sz w:val="24"/>
          <w:szCs w:val="24"/>
        </w:rPr>
        <w:t xml:space="preserve">-</w:t>
      </w:r>
      <w:r>
        <w:rPr>
          <w:rFonts w:ascii="Arial" w:hAnsi="Arial"/>
          <w:sz w:val="24"/>
          <w:szCs w:val="24"/>
        </w:rPr>
        <w:t xml:space="preserve">Histórico-Cultural. In: SCHETTINI, R.H.DAMIANOVIC, M.C. HAWI, M.M. SZUNDY, P.T.C. </w:t>
      </w:r>
      <w:r>
        <w:rPr>
          <w:rFonts w:ascii="Arial" w:hAnsi="Arial"/>
          <w:b/>
          <w:sz w:val="24"/>
          <w:szCs w:val="24"/>
        </w:rPr>
        <w:t xml:space="preserve">Vygotsky: uma revisita no Século XXI</w:t>
      </w:r>
      <w:r>
        <w:rPr>
          <w:rFonts w:ascii="Arial" w:hAnsi="Arial"/>
          <w:sz w:val="24"/>
          <w:szCs w:val="24"/>
        </w:rPr>
        <w:t xml:space="preserve">. São Paulo: Andross, 2009. pp. 219- 232</w:t>
      </w:r>
      <w:r/>
    </w:p>
    <w:p>
      <w:pPr>
        <w:pStyle w:val="143"/>
        <w:jc w:val="both"/>
        <w:spacing w:lineRule="auto" w:line="360" w:after="0"/>
      </w:pPr>
      <w:r>
        <w:rPr>
          <w:rFonts w:ascii="Arial" w:hAnsi="Arial" w:eastAsia="Times New Roman"/>
          <w:color w:val="00000A"/>
          <w:sz w:val="24"/>
          <w:szCs w:val="24"/>
        </w:rPr>
        <w:t xml:space="preserve">SOBRAL, K. M.; MORAES, B. M.; JIMENEZ, M. S. V. </w:t>
      </w:r>
      <w:r>
        <w:rPr>
          <w:rFonts w:ascii="Arial" w:hAnsi="Arial" w:eastAsia="Times New Roman"/>
          <w:b/>
          <w:color w:val="00000A"/>
          <w:sz w:val="24"/>
          <w:szCs w:val="24"/>
        </w:rPr>
        <w:t xml:space="preserve">A Educação em Gramsci</w:t>
      </w:r>
      <w:r>
        <w:rPr>
          <w:rFonts w:ascii="Arial" w:hAnsi="Arial" w:eastAsia="Times New Roman"/>
          <w:color w:val="00000A"/>
          <w:sz w:val="24"/>
          <w:szCs w:val="24"/>
        </w:rPr>
        <w:t xml:space="preserve">. Disponível em:&lt;https://periodicos.sbu.unicamp.br/ojs/index.php/rfe/article/view/8635525/3318&gt;. Acesso em: 14 mar. 2018. </w:t>
      </w:r>
      <w:r/>
    </w:p>
    <w:p>
      <w:pPr>
        <w:pStyle w:val="143"/>
        <w:jc w:val="both"/>
        <w:spacing w:lineRule="auto" w:line="360" w:after="0"/>
      </w:pPr>
      <w:r>
        <w:rPr>
          <w:rFonts w:ascii="Arial" w:hAnsi="Arial"/>
          <w:sz w:val="24"/>
          <w:szCs w:val="24"/>
          <w:shd w:val="clear" w:color="auto" w:fill="FFFFFF"/>
        </w:rPr>
        <w:t xml:space="preserve">SOUZA-SILVA, J.; DAVEL, E. Da ação à colaboração reflexiva em comunidades de prática. </w:t>
      </w:r>
      <w:r>
        <w:rPr>
          <w:rStyle w:val="178"/>
          <w:rFonts w:ascii="Arial" w:hAnsi="Arial"/>
          <w:sz w:val="24"/>
          <w:szCs w:val="24"/>
          <w:shd w:val="clear" w:color="auto" w:fill="FFFFFF"/>
        </w:rPr>
        <w:t xml:space="preserve">Revista de Administração de Empresas</w:t>
      </w:r>
      <w:r>
        <w:rPr>
          <w:rFonts w:ascii="Arial" w:hAnsi="Arial"/>
          <w:sz w:val="24"/>
          <w:szCs w:val="24"/>
          <w:shd w:val="clear" w:color="auto" w:fill="FFFFFF"/>
        </w:rPr>
        <w:t xml:space="preserve">, v. 47, n. 3, p. 53-65, 2007.</w:t>
      </w:r>
      <w:r/>
    </w:p>
    <w:p>
      <w:pPr>
        <w:pStyle w:val="143"/>
        <w:jc w:val="both"/>
        <w:spacing w:lineRule="auto" w:line="360" w:after="0"/>
        <w:rPr>
          <w:rFonts w:ascii="Arial" w:hAnsi="Arial"/>
          <w:sz w:val="24"/>
          <w:szCs w:val="24"/>
        </w:rPr>
      </w:pPr>
      <w:r>
        <w:rPr>
          <w:rFonts w:ascii="Arial" w:hAnsi="Arial"/>
          <w:sz w:val="24"/>
          <w:szCs w:val="24"/>
        </w:rPr>
        <w:t xml:space="preserve">TRIVIÑOS, A. N. S. </w:t>
      </w:r>
      <w:r>
        <w:rPr>
          <w:rFonts w:ascii="Arial" w:hAnsi="Arial"/>
          <w:b/>
          <w:sz w:val="24"/>
          <w:szCs w:val="24"/>
        </w:rPr>
        <w:t xml:space="preserve">Introdução à pesquisa em ciências sociais</w:t>
      </w:r>
      <w:r>
        <w:rPr>
          <w:rFonts w:ascii="Arial" w:hAnsi="Arial"/>
          <w:sz w:val="24"/>
          <w:szCs w:val="24"/>
        </w:rPr>
        <w:t xml:space="preserve">: a pesquisa qualitativa em educação. São Paulo: Atlas, 2006.</w:t>
      </w:r>
      <w:r>
        <w:rPr>
          <w:rFonts w:ascii="Arial" w:hAnsi="Arial"/>
          <w:sz w:val="24"/>
          <w:szCs w:val="24"/>
        </w:rPr>
      </w:r>
      <w:r/>
    </w:p>
    <w:p>
      <w:pPr>
        <w:pStyle w:val="143"/>
        <w:jc w:val="both"/>
        <w:spacing w:lineRule="auto" w:line="360" w:after="0"/>
      </w:pPr>
      <w:r>
        <w:rPr>
          <w:rFonts w:ascii="Arial" w:hAnsi="Arial" w:eastAsia="Times New Roman"/>
          <w:color w:val="00000A"/>
          <w:sz w:val="24"/>
          <w:szCs w:val="24"/>
        </w:rPr>
        <w:t xml:space="preserve">VYGOTSKY, Lev S. </w:t>
      </w:r>
      <w:r>
        <w:rPr>
          <w:rFonts w:ascii="Arial" w:hAnsi="Arial" w:eastAsia="Times New Roman"/>
          <w:b/>
          <w:color w:val="00000A"/>
          <w:sz w:val="24"/>
          <w:szCs w:val="24"/>
        </w:rPr>
        <w:t xml:space="preserve">Psicologia Pedagógica</w:t>
      </w:r>
      <w:r>
        <w:rPr>
          <w:rFonts w:ascii="Arial" w:hAnsi="Arial" w:eastAsia="Times New Roman"/>
          <w:color w:val="00000A"/>
          <w:sz w:val="24"/>
          <w:szCs w:val="24"/>
        </w:rPr>
        <w:t xml:space="preserve">. São Paulo: Martins Fontes, 2001.</w:t>
      </w:r>
      <w:r/>
    </w:p>
    <w:p>
      <w:pPr>
        <w:pStyle w:val="143"/>
        <w:jc w:val="both"/>
        <w:spacing w:lineRule="auto" w:line="360" w:after="0"/>
        <w:rPr>
          <w:lang w:val="en-US"/>
        </w:rPr>
      </w:pPr>
      <w:r>
        <w:rPr>
          <w:rFonts w:ascii="Arial" w:hAnsi="Arial" w:eastAsia="Times New Roman"/>
          <w:color w:val="00000A"/>
          <w:sz w:val="24"/>
          <w:szCs w:val="24"/>
        </w:rPr>
        <w:t xml:space="preserve">VYGOTSKY, L.S. </w:t>
      </w:r>
      <w:r>
        <w:rPr>
          <w:rFonts w:ascii="Arial" w:hAnsi="Arial" w:eastAsia="Times New Roman"/>
          <w:b/>
          <w:color w:val="00000A"/>
          <w:sz w:val="24"/>
          <w:szCs w:val="24"/>
        </w:rPr>
        <w:t xml:space="preserve">Psicologia Pedagógica</w:t>
      </w:r>
      <w:r>
        <w:rPr>
          <w:rFonts w:ascii="Arial" w:hAnsi="Arial" w:eastAsia="Times New Roman"/>
          <w:color w:val="00000A"/>
          <w:sz w:val="24"/>
          <w:szCs w:val="24"/>
        </w:rPr>
        <w:t xml:space="preserve">. </w:t>
      </w:r>
      <w:r>
        <w:rPr>
          <w:rFonts w:ascii="Arial" w:hAnsi="Arial" w:eastAsia="Times New Roman"/>
          <w:color w:val="00000A"/>
          <w:sz w:val="24"/>
          <w:szCs w:val="24"/>
          <w:lang w:val="en-US"/>
        </w:rPr>
        <w:t xml:space="preserve">São Paulo: Martins Fontes, 2001.</w:t>
      </w:r>
      <w:r>
        <w:rPr>
          <w:lang w:val="en-US"/>
        </w:rPr>
      </w:r>
      <w:r/>
    </w:p>
    <w:p>
      <w:pPr>
        <w:pStyle w:val="143"/>
        <w:jc w:val="both"/>
        <w:spacing w:lineRule="auto" w:line="360" w:after="0"/>
        <w:rPr>
          <w:lang w:val="en-US"/>
        </w:rPr>
      </w:pPr>
      <w:r>
        <w:rPr>
          <w:rFonts w:ascii="Arial" w:hAnsi="Arial"/>
          <w:sz w:val="24"/>
          <w:szCs w:val="24"/>
          <w:lang w:val="en-US"/>
        </w:rPr>
        <w:t xml:space="preserve">WENGER, E. </w:t>
      </w:r>
      <w:r>
        <w:rPr>
          <w:rFonts w:ascii="Arial" w:hAnsi="Arial"/>
          <w:b/>
          <w:sz w:val="24"/>
          <w:szCs w:val="24"/>
          <w:lang w:val="en-US"/>
        </w:rPr>
        <w:t xml:space="preserve">Communities of Practice: Learning, Meaning, and Identity.</w:t>
      </w:r>
      <w:r>
        <w:rPr>
          <w:rFonts w:ascii="Arial" w:hAnsi="Arial"/>
          <w:sz w:val="24"/>
          <w:szCs w:val="24"/>
          <w:lang w:val="en-US"/>
        </w:rPr>
        <w:t xml:space="preserve"> Cambridge: Cambridge University Press, 1998.</w:t>
      </w:r>
      <w:r>
        <w:rPr>
          <w:lang w:val="en-US"/>
        </w:rPr>
      </w:r>
      <w:r/>
    </w:p>
    <w:p>
      <w:pPr>
        <w:pStyle w:val="143"/>
        <w:jc w:val="both"/>
        <w:spacing w:lineRule="auto" w:line="360" w:after="0"/>
        <w:rPr>
          <w:lang w:val="en-US"/>
        </w:rPr>
      </w:pPr>
      <w:r>
        <w:rPr>
          <w:rFonts w:ascii="Arial" w:hAnsi="Arial"/>
          <w:color w:val="231F20"/>
          <w:sz w:val="24"/>
          <w:szCs w:val="24"/>
          <w:lang w:val="en-US" w:eastAsia="pt-BR"/>
        </w:rPr>
        <w:t xml:space="preserve">______. Communities of practice and social learning systems. In: NICOLINI, D.; GHERARDI</w:t>
      </w:r>
      <w:r>
        <w:rPr>
          <w:rFonts w:ascii="Arial" w:hAnsi="Arial"/>
          <w:iCs/>
          <w:color w:val="231F20"/>
          <w:sz w:val="24"/>
          <w:szCs w:val="24"/>
          <w:lang w:val="en-US" w:eastAsia="pt-BR"/>
        </w:rPr>
        <w:t xml:space="preserve">, </w:t>
      </w:r>
      <w:r>
        <w:rPr>
          <w:rFonts w:ascii="Arial" w:hAnsi="Arial"/>
          <w:color w:val="231F20"/>
          <w:sz w:val="24"/>
          <w:szCs w:val="24"/>
          <w:lang w:val="en-US" w:eastAsia="pt-BR"/>
        </w:rPr>
        <w:t xml:space="preserve">S.; </w:t>
      </w:r>
      <w:r>
        <w:rPr>
          <w:rFonts w:ascii="Arial" w:hAnsi="Arial"/>
          <w:iCs/>
          <w:color w:val="231F20"/>
          <w:sz w:val="24"/>
          <w:szCs w:val="24"/>
          <w:lang w:val="en-US" w:eastAsia="pt-BR"/>
        </w:rPr>
        <w:t xml:space="preserve">et al. </w:t>
      </w:r>
      <w:r>
        <w:rPr>
          <w:rFonts w:ascii="Arial" w:hAnsi="Arial"/>
          <w:color w:val="231F20"/>
          <w:sz w:val="24"/>
          <w:szCs w:val="24"/>
          <w:lang w:val="en-US" w:eastAsia="pt-BR"/>
        </w:rPr>
        <w:t xml:space="preserve">(Eds.). </w:t>
      </w:r>
      <w:r>
        <w:rPr>
          <w:rFonts w:ascii="Arial" w:hAnsi="Arial"/>
          <w:b/>
          <w:iCs/>
          <w:color w:val="231F20"/>
          <w:sz w:val="24"/>
          <w:szCs w:val="24"/>
          <w:lang w:val="en-US" w:eastAsia="pt-BR"/>
        </w:rPr>
        <w:t xml:space="preserve">Knowing in Organizing:</w:t>
      </w:r>
      <w:r>
        <w:rPr>
          <w:rFonts w:ascii="Arial" w:hAnsi="Arial"/>
          <w:iCs/>
          <w:color w:val="231F20"/>
          <w:sz w:val="24"/>
          <w:szCs w:val="24"/>
          <w:lang w:val="en-US" w:eastAsia="pt-BR"/>
        </w:rPr>
        <w:t xml:space="preserve"> A Practice-Based Approach</w:t>
      </w:r>
      <w:r>
        <w:rPr>
          <w:rFonts w:ascii="Arial" w:hAnsi="Arial"/>
          <w:color w:val="231F20"/>
          <w:sz w:val="24"/>
          <w:szCs w:val="24"/>
          <w:lang w:val="en-US" w:eastAsia="pt-BR"/>
        </w:rPr>
        <w:t xml:space="preserve">. New York: M.E. Sharper, 2003.</w:t>
      </w:r>
      <w:r>
        <w:rPr>
          <w:lang w:val="en-US"/>
        </w:rPr>
      </w:r>
      <w:r/>
    </w:p>
    <w:p>
      <w:pPr>
        <w:pStyle w:val="143"/>
        <w:jc w:val="both"/>
        <w:spacing w:lineRule="auto" w:line="360" w:after="0"/>
      </w:pPr>
      <w:r>
        <w:rPr>
          <w:rFonts w:ascii="Arial" w:hAnsi="Arial"/>
          <w:sz w:val="24"/>
          <w:szCs w:val="24"/>
          <w:lang w:val="en-US"/>
        </w:rPr>
        <w:t xml:space="preserve">______. </w:t>
      </w:r>
      <w:r>
        <w:rPr>
          <w:rFonts w:ascii="Arial" w:hAnsi="Arial"/>
          <w:b/>
          <w:sz w:val="24"/>
          <w:szCs w:val="24"/>
          <w:lang w:val="en-US"/>
        </w:rPr>
        <w:t xml:space="preserve">Communities of Practice</w:t>
      </w:r>
      <w:r>
        <w:rPr>
          <w:rFonts w:ascii="Arial" w:hAnsi="Arial"/>
          <w:sz w:val="24"/>
          <w:szCs w:val="24"/>
          <w:lang w:val="en-US"/>
        </w:rPr>
        <w:t xml:space="preserve">: a brief introduction, 2011. </w:t>
      </w:r>
      <w:r>
        <w:rPr>
          <w:rFonts w:ascii="Arial" w:hAnsi="Arial"/>
          <w:sz w:val="24"/>
          <w:szCs w:val="24"/>
        </w:rPr>
        <w:t xml:space="preserve">Disponível em: . Acesso em: 20 jul. 20183</w:t>
      </w:r>
      <w:r/>
    </w:p>
    <w:p>
      <w:pPr>
        <w:pStyle w:val="143"/>
        <w:jc w:val="both"/>
        <w:spacing w:lineRule="auto" w:line="360" w:after="0"/>
      </w:pPr>
      <w:r>
        <w:rPr>
          <w:rFonts w:ascii="Arial" w:hAnsi="Arial" w:eastAsia="Times New Roman"/>
          <w:sz w:val="24"/>
          <w:szCs w:val="24"/>
          <w:lang w:eastAsia="pt-BR"/>
        </w:rPr>
        <w:t xml:space="preserve">______. Uma teoria social da aprendizagem. In: Illeris, K. (org). </w:t>
      </w:r>
      <w:r>
        <w:rPr>
          <w:rFonts w:ascii="Arial" w:hAnsi="Arial" w:eastAsia="Times New Roman"/>
          <w:b/>
          <w:sz w:val="24"/>
          <w:szCs w:val="24"/>
          <w:lang w:eastAsia="pt-BR"/>
        </w:rPr>
        <w:t xml:space="preserve">Teorias contemporâneas da aprendizagem</w:t>
      </w:r>
      <w:r>
        <w:rPr>
          <w:rFonts w:ascii="Arial" w:hAnsi="Arial" w:eastAsia="Times New Roman"/>
          <w:sz w:val="24"/>
          <w:szCs w:val="24"/>
          <w:lang w:eastAsia="pt-BR"/>
        </w:rPr>
        <w:t xml:space="preserve">. Trad Ronaldo Cataldo Costa. Porto Alegre: Penso, 2013, p.246-257. </w:t>
      </w:r>
      <w:r/>
    </w:p>
    <w:p>
      <w:pPr>
        <w:pStyle w:val="143"/>
        <w:jc w:val="both"/>
        <w:spacing w:lineRule="auto" w:line="360" w:after="0"/>
      </w:pPr>
      <w:r>
        <w:rPr>
          <w:rFonts w:ascii="Arial" w:hAnsi="Arial"/>
          <w:sz w:val="24"/>
          <w:szCs w:val="24"/>
        </w:rPr>
        <w:t xml:space="preserve">WITTICH, D. In: MAGALHÃES-VILHENA, Vasco (Org.). </w:t>
      </w:r>
      <w:r>
        <w:rPr>
          <w:rFonts w:ascii="Arial" w:hAnsi="Arial"/>
          <w:b/>
          <w:sz w:val="24"/>
          <w:szCs w:val="24"/>
        </w:rPr>
        <w:t xml:space="preserve">Práxis</w:t>
      </w:r>
      <w:r>
        <w:rPr>
          <w:rFonts w:ascii="Arial" w:hAnsi="Arial"/>
          <w:sz w:val="24"/>
          <w:szCs w:val="24"/>
        </w:rPr>
        <w:t xml:space="preserve">. Lisboa: Horizontes, 1980. v 1.</w:t>
      </w:r>
      <w:r/>
    </w:p>
    <w:p>
      <w:pPr>
        <w:pStyle w:val="143"/>
        <w:jc w:val="both"/>
        <w:spacing w:lineRule="auto" w:line="360" w:after="0"/>
        <w:rPr>
          <w:rFonts w:ascii="Arial" w:hAnsi="Arial" w:eastAsia="Times New Roman"/>
          <w:color w:val="00000A"/>
          <w:sz w:val="24"/>
          <w:szCs w:val="24"/>
        </w:rPr>
      </w:pPr>
      <w:r>
        <w:rPr>
          <w:rFonts w:ascii="Arial" w:hAnsi="Arial" w:eastAsia="Times New Roman"/>
          <w:color w:val="00000A"/>
          <w:sz w:val="24"/>
          <w:szCs w:val="24"/>
        </w:rPr>
      </w:r>
      <w:r/>
    </w:p>
    <w:p>
      <w:pPr>
        <w:pStyle w:val="143"/>
        <w:jc w:val="both"/>
        <w:spacing w:lineRule="auto" w:line="360" w:after="0"/>
      </w:pPr>
      <w:r/>
      <w:r/>
    </w:p>
    <w:sectPr>
      <w:headerReference w:type="default" r:id="rId7"/>
      <w:headerReference w:type="first" r:id="rId8"/>
      <w:footerReference w:type="default" r:id="rId9"/>
      <w:footerReference w:type="first" r:id="rId10"/>
      <w:footnotePr/>
      <w:type w:val="nextPage"/>
      <w:pgSz w:w="11906" w:h="16838"/>
      <w:pgMar w:top="1417" w:right="1701" w:bottom="1417" w:left="1701" w:gutter="0" w:header="709" w:footer="737"/>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font>
  <w:font w:name="Calibri">
    <w:panose1 w:val="020F0502020204030204"/>
  </w:font>
  <w:font w:name="Courier New">
    <w:panose1 w:val="02070309020205020404"/>
  </w:font>
  <w:font w:name="Liberation Sans">
    <w:panose1 w:val="020B0704020202020204"/>
  </w:font>
  <w:font w:name="Microsoft YaHei">
    <w:panose1 w:val="020B0503020204020204"/>
  </w:font>
  <w:font w:name="Roboto-Regular">
    <w:panose1 w:val="020B0604020202020204"/>
  </w:font>
  <w:font w:name="Symbol">
    <w:panose1 w:val="05050102010706020507"/>
  </w:font>
  <w:font w:name="Tahoma">
    <w:panose1 w:val="020B0604030504040204"/>
  </w:font>
  <w:font w:name="Times New Roman">
    <w:panose1 w:val="02020603050405020304"/>
  </w:font>
  <w:font w:name="Wingdings">
    <w:panose1 w:val="05000000000000000000"/>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9"/>
      <w:jc w:val="center"/>
      <w:rPr>
        <w:rFonts w:ascii="Arial" w:hAnsi="Arial"/>
        <w:sz w:val="20"/>
        <w:szCs w:val="20"/>
      </w:rPr>
    </w:pPr>
    <w:r>
      <w:rPr>
        <w:rFonts w:ascii="Arial" w:hAnsi="Arial"/>
        <w:sz w:val="20"/>
        <w:szCs w:val="20"/>
      </w:rPr>
    </w:r>
    <w:r/>
  </w:p>
  <w:p>
    <w:pPr>
      <w:pStyle w:val="189"/>
      <w:jc w:val="center"/>
    </w:pPr>
    <w:r>
      <w:rPr>
        <w:rFonts w:ascii="Arial" w:hAnsi="Arial"/>
        <w:b/>
        <w:sz w:val="20"/>
        <w:szCs w:val="20"/>
      </w:rPr>
    </w:r>
    <w:r/>
  </w:p>
  <w:p>
    <w:pPr>
      <w:pStyle w:val="189"/>
      <w:jc w:val="center"/>
    </w:pPr>
    <w:r>
      <w:rPr>
        <w:rFonts w:ascii="Arial" w:hAnsi="Arial"/>
        <w:b/>
        <w:sz w:val="20"/>
        <w:szCs w:val="20"/>
      </w:rPr>
      <w:t xml:space="preserve">Revista Mundi Sociais e Humanidades</w:t>
    </w:r>
    <w:r>
      <w:rPr>
        <w:rFonts w:ascii="Arial" w:hAnsi="Arial"/>
        <w:sz w:val="20"/>
        <w:szCs w:val="20"/>
      </w:rPr>
      <w:t xml:space="preserve">. Curitiba, PR, v.??, n.??, p. ??-??, ??./??., 20??</w:t>
    </w:r>
    <w:r/>
  </w:p>
  <w:p>
    <w:pPr>
      <w:pStyle w:val="189"/>
      <w:rPr>
        <w:rFonts w:ascii="Arial" w:hAnsi="Arial"/>
        <w:sz w:val="20"/>
        <w:szCs w:val="20"/>
      </w:rPr>
    </w:pPr>
    <w:r>
      <w:rPr>
        <w:rFonts w:ascii="Arial" w:hAnsi="Arial"/>
        <w:sz w:val="20"/>
        <w:szCs w:val="20"/>
      </w:rPr>
    </w:r>
    <w:r/>
  </w:p>
  <w:p>
    <w:pPr>
      <w:pStyle w:val="189"/>
      <w:jc w:val="right"/>
      <w:rPr>
        <w:rFonts w:ascii="Arial" w:hAnsi="Arial"/>
        <w:sz w:val="20"/>
        <w:szCs w:val="20"/>
      </w:rPr>
    </w:pPr>
    <w:r>
      <w:rPr>
        <w:rFonts w:ascii="Arial" w:hAnsi="Arial"/>
        <w:sz w:val="20"/>
        <w:szCs w:val="20"/>
      </w:rPr>
    </w:r>
    <w:fldSimple w:instr="PAGE \* MERGEFORMAT">
      <w:r>
        <w:rPr>
          <w:rFonts w:ascii="Arial" w:hAnsi="Arial"/>
          <w:sz w:val="20"/>
          <w:szCs w:val="20"/>
        </w:rPr>
        <w:t xml:space="preserve">1</w:t>
      </w:r>
    </w:fldSimple>
    <w:r>
      <w:rPr>
        <w:rFonts w:ascii="Arial" w:hAnsi="Arial"/>
        <w:sz w:val="20"/>
        <w:szCs w:val="20"/>
      </w:rPr>
    </w:r>
    <w:r>
      <w:rPr>
        <w:rFonts w:ascii="Arial" w:hAnsi="Arial"/>
        <w:sz w:val="20"/>
        <w:szCs w:val="20"/>
      </w:rPr>
    </w:r>
    <w:r/>
  </w:p>
  <w:p>
    <w:pPr>
      <w:pStyle w:val="189"/>
      <w:rPr>
        <w:rFonts w:ascii="Arial" w:hAnsi="Arial"/>
        <w:sz w:val="20"/>
        <w:szCs w:val="20"/>
      </w:rPr>
    </w:pPr>
    <w:r>
      <w:rPr>
        <w:rFonts w:ascii="Arial" w:hAnsi="Arial"/>
        <w:sz w:val="20"/>
        <w:szCs w:val="20"/>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 w:id="1">
    <w:p>
      <w:pPr>
        <w:pStyle w:val="143"/>
        <w:jc w:val="both"/>
        <w:spacing w:lineRule="auto" w:line="240" w:after="0" w:before="120"/>
        <w:tabs>
          <w:tab w:val="left" w:pos="142"/>
        </w:tabs>
        <w:rPr>
          <w:sz w:val="20"/>
          <w:szCs w:val="20"/>
        </w:rPr>
      </w:pPr>
      <w:r>
        <w:rPr>
          <w:rStyle w:val="167"/>
          <w:rFonts w:ascii="Arial" w:hAnsi="Arial"/>
        </w:rPr>
        <w:footnoteRef/>
      </w:r>
      <w:r>
        <w:tab/>
      </w:r>
      <w:r>
        <w:rPr>
          <w:sz w:val="20"/>
          <w:szCs w:val="20"/>
        </w:rPr>
        <w:t xml:space="preserve"> </w:t>
      </w:r>
      <w:r>
        <w:rPr>
          <w:rFonts w:ascii="Arial" w:hAnsi="Arial"/>
          <w:bCs/>
          <w:sz w:val="20"/>
          <w:szCs w:val="20"/>
        </w:rPr>
        <w:t xml:space="preserve">Autor</w:t>
      </w:r>
      <w:r>
        <w:rPr>
          <w:sz w:val="20"/>
          <w:szCs w:val="20"/>
        </w:rPr>
      </w:r>
      <w:r/>
    </w:p>
  </w:footnote>
  <w:footnote w:id="2">
    <w:p>
      <w:pPr>
        <w:pStyle w:val="198"/>
        <w:jc w:val="both"/>
        <w:spacing w:lineRule="auto" w:line="240" w:after="0" w:before="120"/>
        <w:tabs>
          <w:tab w:val="left" w:pos="142"/>
        </w:tabs>
      </w:pPr>
      <w:r>
        <w:rPr>
          <w:rStyle w:val="167"/>
          <w:rFonts w:ascii="Arial" w:hAnsi="Arial"/>
        </w:rPr>
        <w:footnoteRef/>
      </w:r>
      <w:r>
        <w:tab/>
        <w:t xml:space="preserve"> </w:t>
      </w:r>
      <w:r>
        <w:rPr>
          <w:rFonts w:ascii="Arial" w:hAnsi="Arial"/>
          <w:bCs/>
        </w:rPr>
        <w:t xml:space="preserve">Autor</w:t>
      </w:r>
      <w:r/>
    </w:p>
  </w:footnote>
  <w:footnote w:id="3">
    <w:p>
      <w:pPr>
        <w:pStyle w:val="198"/>
        <w:jc w:val="both"/>
        <w:spacing w:lineRule="auto" w:line="240" w:after="0" w:before="120"/>
        <w:tabs>
          <w:tab w:val="left" w:pos="142"/>
        </w:tabs>
      </w:pPr>
      <w:r>
        <w:rPr>
          <w:rStyle w:val="167"/>
          <w:rFonts w:ascii="Arial" w:hAnsi="Arial"/>
        </w:rPr>
        <w:footnoteRef/>
      </w:r>
      <w:r>
        <w:tab/>
        <w:t xml:space="preserve"> </w:t>
      </w:r>
      <w:r>
        <w:rPr>
          <w:rFonts w:ascii="Arial" w:hAnsi="Arial"/>
          <w:bCs/>
        </w:rPr>
        <w:t xml:space="preserve">Autor</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3"/>
    </w:p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imes New Roman" w:hint="default"/>
        <w:color w:val="auto"/>
        <w:spacing w:val="0"/>
        <w:position w:val="0"/>
        <w:sz w:val="20"/>
        <w:szCs w:val="22"/>
        <w:lang w:val="pt-BR" w:bidi="en-US" w:eastAsia="en-US"/>
      </w:rPr>
    </w:rPrDefault>
    <w:pPrDefault>
      <w:pPr>
        <w:ind w:left="0" w:right="0" w:hanging="0"/>
        <w:jc w:val="left"/>
        <w:spacing w:lineRule="auto" w:line="240" w:after="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143"/>
    <w:next w:val="143"/>
    <w:qFormat/>
    <w:uiPriority w:val="9"/>
    <w:rPr>
      <w:rFonts w:ascii="Arial" w:hAnsi="Arial" w:cs="Arial" w:eastAsia="Arial"/>
      <w:b/>
      <w:bCs/>
      <w:color w:val="000000" w:themeColor="text1"/>
      <w:sz w:val="48"/>
      <w:szCs w:val="48"/>
    </w:rPr>
    <w:pPr>
      <w:keepLines/>
      <w:keepNext/>
      <w:spacing w:after="0" w:before="480"/>
    </w:pPr>
  </w:style>
  <w:style w:type="paragraph" w:styleId="12">
    <w:name w:val="Heading 2"/>
    <w:basedOn w:val="143"/>
    <w:next w:val="143"/>
    <w:qFormat/>
    <w:uiPriority w:val="9"/>
    <w:unhideWhenUsed/>
    <w:rPr>
      <w:rFonts w:ascii="Arial" w:hAnsi="Arial" w:cs="Arial" w:eastAsia="Arial"/>
      <w:b/>
      <w:bCs/>
      <w:color w:val="000000" w:themeColor="text1"/>
      <w:sz w:val="40"/>
    </w:rPr>
    <w:pPr>
      <w:keepLines/>
      <w:keepNext/>
      <w:spacing w:after="0" w:before="200"/>
    </w:pPr>
  </w:style>
  <w:style w:type="paragraph" w:styleId="13">
    <w:name w:val="Heading 3"/>
    <w:basedOn w:val="143"/>
    <w:next w:val="143"/>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14">
    <w:name w:val="Heading 4"/>
    <w:basedOn w:val="143"/>
    <w:next w:val="143"/>
    <w:qFormat/>
    <w:uiPriority w:val="9"/>
    <w:unhideWhenUsed/>
    <w:rPr>
      <w:rFonts w:ascii="Arial" w:hAnsi="Arial" w:cs="Arial" w:eastAsia="Arial"/>
      <w:color w:val="232323"/>
      <w:sz w:val="32"/>
      <w:szCs w:val="32"/>
    </w:rPr>
    <w:pPr>
      <w:keepLines/>
      <w:keepNext/>
      <w:spacing w:after="0" w:before="200"/>
    </w:pPr>
  </w:style>
  <w:style w:type="paragraph" w:styleId="15">
    <w:name w:val="Heading 5"/>
    <w:basedOn w:val="143"/>
    <w:next w:val="143"/>
    <w:qFormat/>
    <w:uiPriority w:val="9"/>
    <w:unhideWhenUsed/>
    <w:rPr>
      <w:rFonts w:ascii="Arial" w:hAnsi="Arial" w:cs="Arial" w:eastAsia="Arial"/>
      <w:b/>
      <w:bCs/>
      <w:color w:val="444444"/>
      <w:sz w:val="28"/>
      <w:szCs w:val="28"/>
    </w:rPr>
    <w:pPr>
      <w:keepLines/>
      <w:keepNext/>
      <w:spacing w:after="0" w:before="200"/>
    </w:pPr>
  </w:style>
  <w:style w:type="paragraph" w:styleId="16">
    <w:name w:val="Heading 6"/>
    <w:basedOn w:val="143"/>
    <w:next w:val="143"/>
    <w:qFormat/>
    <w:uiPriority w:val="9"/>
    <w:unhideWhenUsed/>
    <w:rPr>
      <w:rFonts w:ascii="Arial" w:hAnsi="Arial" w:cs="Arial" w:eastAsia="Arial"/>
      <w:i/>
      <w:iCs/>
      <w:color w:val="232323"/>
      <w:sz w:val="28"/>
      <w:szCs w:val="28"/>
    </w:rPr>
    <w:pPr>
      <w:keepLines/>
      <w:keepNext/>
      <w:spacing w:after="0" w:before="200"/>
    </w:pPr>
  </w:style>
  <w:style w:type="paragraph" w:styleId="17">
    <w:name w:val="Heading 7"/>
    <w:basedOn w:val="143"/>
    <w:next w:val="143"/>
    <w:qFormat/>
    <w:uiPriority w:val="9"/>
    <w:unhideWhenUsed/>
    <w:rPr>
      <w:rFonts w:ascii="Arial" w:hAnsi="Arial" w:cs="Arial" w:eastAsia="Arial"/>
      <w:b/>
      <w:bCs/>
      <w:color w:val="606060"/>
      <w:sz w:val="24"/>
      <w:szCs w:val="24"/>
    </w:rPr>
    <w:pPr>
      <w:keepLines/>
      <w:keepNext/>
      <w:spacing w:after="0" w:before="200"/>
    </w:pPr>
  </w:style>
  <w:style w:type="paragraph" w:styleId="18">
    <w:name w:val="Heading 8"/>
    <w:basedOn w:val="143"/>
    <w:next w:val="143"/>
    <w:qFormat/>
    <w:uiPriority w:val="9"/>
    <w:unhideWhenUsed/>
    <w:rPr>
      <w:rFonts w:ascii="Arial" w:hAnsi="Arial" w:cs="Arial" w:eastAsia="Arial"/>
      <w:color w:val="444444"/>
      <w:sz w:val="24"/>
      <w:szCs w:val="24"/>
    </w:rPr>
    <w:pPr>
      <w:keepLines/>
      <w:keepNext/>
      <w:spacing w:after="0" w:before="200"/>
    </w:pPr>
  </w:style>
  <w:style w:type="paragraph" w:styleId="19">
    <w:name w:val="Heading 9"/>
    <w:basedOn w:val="143"/>
    <w:next w:val="143"/>
    <w:qFormat/>
    <w:uiPriority w:val="9"/>
    <w:unhideWhenUsed/>
    <w:rPr>
      <w:rFonts w:ascii="Arial" w:hAnsi="Arial" w:cs="Arial" w:eastAsia="Arial"/>
      <w:i/>
      <w:iCs/>
      <w:color w:val="444444"/>
      <w:sz w:val="23"/>
      <w:szCs w:val="23"/>
    </w:rPr>
    <w:pPr>
      <w:keepLines/>
      <w:keepNext/>
      <w:spacing w:after="0" w:before="200"/>
    </w:pPr>
  </w:style>
  <w:style w:type="paragraph" w:styleId="20">
    <w:name w:val="List Paragraph"/>
    <w:basedOn w:val="143"/>
    <w:qFormat/>
    <w:uiPriority w:val="34"/>
    <w:pPr>
      <w:contextualSpacing w:val="true"/>
      <w:ind w:left="720"/>
    </w:pPr>
  </w:style>
  <w:style w:type="table" w:styleId="21">
    <w:name w:val="Normal Table"/>
    <w:uiPriority w:val="99"/>
    <w:semiHidden/>
    <w:unhideWhenUsed/>
    <w:tblPr>
      <w:tblInd w:w="0" w:type="dxa"/>
      <w:tblCellMar>
        <w:left w:w="108" w:type="dxa"/>
        <w:top w:w="0" w:type="dxa"/>
        <w:right w:w="108" w:type="dxa"/>
        <w:bottom w:w="0" w:type="dxa"/>
      </w:tblCellMar>
    </w:tblPr>
  </w:style>
  <w:style w:type="paragraph" w:styleId="22">
    <w:name w:val="No Spacing"/>
    <w:basedOn w:val="143"/>
    <w:qFormat/>
    <w:uiPriority w:val="1"/>
    <w:rPr>
      <w:color w:val="000000"/>
    </w:rPr>
    <w:pPr>
      <w:spacing w:lineRule="auto" w:line="240" w:after="0"/>
    </w:pPr>
  </w:style>
  <w:style w:type="paragraph" w:styleId="23">
    <w:name w:val="Title"/>
    <w:basedOn w:val="143"/>
    <w:next w:val="143"/>
    <w:qFormat/>
    <w:uiPriority w:val="10"/>
    <w:rPr>
      <w:b/>
      <w:color w:val="000000"/>
      <w:sz w:val="72"/>
    </w:rPr>
    <w:pPr>
      <w:spacing w:lineRule="auto" w:line="240" w:after="80" w:before="300"/>
      <w:pBdr>
        <w:bottom w:val="single" w:color="000000" w:sz="24" w:space="0"/>
      </w:pBdr>
    </w:pPr>
  </w:style>
  <w:style w:type="paragraph" w:styleId="24">
    <w:name w:val="Subtitle"/>
    <w:basedOn w:val="143"/>
    <w:next w:val="143"/>
    <w:qFormat/>
    <w:uiPriority w:val="11"/>
    <w:rPr>
      <w:i/>
      <w:color w:val="444444"/>
      <w:sz w:val="52"/>
    </w:rPr>
    <w:pPr>
      <w:spacing w:lineRule="auto" w:line="240"/>
    </w:pPr>
  </w:style>
  <w:style w:type="paragraph" w:styleId="25">
    <w:name w:val="Quote"/>
    <w:basedOn w:val="143"/>
    <w:next w:val="143"/>
    <w:qFormat/>
    <w:uiPriority w:val="29"/>
    <w:rPr>
      <w:i/>
      <w:color w:val="373737"/>
      <w:sz w:val="18"/>
    </w:rPr>
    <w:pPr>
      <w:ind w:left="3402"/>
      <w:pBdr>
        <w:left w:val="single" w:color="A6A6A6" w:sz="12" w:space="11"/>
        <w:bottom w:val="single" w:color="A6A6A6" w:sz="12" w:space="3"/>
      </w:pBdr>
    </w:pPr>
  </w:style>
  <w:style w:type="paragraph" w:styleId="26">
    <w:name w:val="Intense Quote"/>
    <w:basedOn w:val="143"/>
    <w:next w:val="143"/>
    <w:qFormat/>
    <w:uiPriority w:val="30"/>
    <w:rPr>
      <w:i/>
      <w:color w:val="606060"/>
      <w:sz w:val="19"/>
    </w:rPr>
    <w:pPr>
      <w:ind w:left="567" w:right="567"/>
      <w:shd w:val="clear" w:color="auto" w:fill="D9D9D9"/>
      <w:pBdr>
        <w:left w:val="single" w:color="808080" w:sz="4" w:space="11"/>
        <w:top w:val="single" w:color="808080" w:sz="4" w:space="3"/>
        <w:right w:val="single" w:color="808080" w:sz="4" w:space="11"/>
        <w:bottom w:val="single" w:color="808080" w:sz="4" w:space="3"/>
      </w:pBdr>
    </w:pPr>
  </w:style>
  <w:style w:type="table" w:styleId="29">
    <w:name w:val="Table Grid"/>
    <w:basedOn w:val="2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30">
    <w:name w:val="Lined"/>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31">
    <w:name w:val="Lined - Accent 1"/>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32">
    <w:name w:val="Lined - Accent 2"/>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33">
    <w:name w:val="Lined - Accent 3"/>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34">
    <w:name w:val="Lined - Accent 4"/>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35">
    <w:name w:val="Lined - Accent 5"/>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36">
    <w:name w:val="Lined - Accent 6"/>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37">
    <w:name w:val="Bordered"/>
    <w:basedOn w:val="21"/>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
    <w:name w:val="Bordered - Accent 1"/>
    <w:basedOn w:val="21"/>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9">
    <w:name w:val="Bordered - Accent 2"/>
    <w:basedOn w:val="21"/>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0">
    <w:name w:val="Bordered - Accent 3"/>
    <w:basedOn w:val="21"/>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41">
    <w:name w:val="Bordered - Accent 4"/>
    <w:basedOn w:val="21"/>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42">
    <w:name w:val="Bordered - Accent 5"/>
    <w:basedOn w:val="21"/>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43">
    <w:name w:val="Bordered - Accent 6"/>
    <w:basedOn w:val="21"/>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44">
    <w:name w:val="Bordered &amp; Lined"/>
    <w:basedOn w:val="21"/>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5">
    <w:name w:val="Bordered &amp; Lined - Accent 1"/>
    <w:basedOn w:val="21"/>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6">
    <w:name w:val="Bordered &amp; Lined - Accent 2"/>
    <w:basedOn w:val="21"/>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7">
    <w:name w:val="Bordered &amp; Lined - Accent 3"/>
    <w:basedOn w:val="21"/>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48">
    <w:name w:val="Bordered &amp; Lined - Accent 4"/>
    <w:basedOn w:val="21"/>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9">
    <w:name w:val="Bordered &amp; Lined - Accent 5"/>
    <w:basedOn w:val="21"/>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0">
    <w:name w:val="Bordered &amp; Lined - Accent 6"/>
    <w:basedOn w:val="21"/>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paragraph" w:styleId="143">
    <w:name w:val="Normal"/>
    <w:next w:val="143"/>
    <w:rPr>
      <w:rFonts w:ascii="Calibri" w:hAnsi="Calibri" w:eastAsia="Calibri"/>
      <w:sz w:val="22"/>
      <w:szCs w:val="22"/>
      <w:lang w:val="pt-BR" w:bidi="ar-SA" w:eastAsia="zh-CN"/>
    </w:rPr>
    <w:pPr>
      <w:spacing w:lineRule="auto" w:line="276" w:after="200"/>
    </w:pPr>
  </w:style>
  <w:style w:type="character" w:styleId="144">
    <w:name w:val="Default Paragraph Font"/>
    <w:next w:val="144"/>
    <w:semiHidden/>
  </w:style>
  <w:style w:type="table" w:styleId="145">
    <w:name w:val="Table Normal"/>
    <w:next w:val="145"/>
    <w:semiHidden/>
    <w:tblPr/>
  </w:style>
  <w:style w:type="numbering" w:styleId="146">
    <w:name w:val="No List"/>
    <w:next w:val="146"/>
    <w:semiHidden/>
  </w:style>
  <w:style w:type="character" w:styleId="147">
    <w:name w:val="Fonte parág. padrão"/>
    <w:next w:val="147"/>
  </w:style>
  <w:style w:type="character" w:styleId="148">
    <w:name w:val="WW8Num1z0"/>
    <w:next w:val="148"/>
    <w:rPr>
      <w:rFonts w:ascii="Symbol" w:hAnsi="Symbol"/>
    </w:rPr>
  </w:style>
  <w:style w:type="character" w:styleId="149">
    <w:name w:val="WW8Num1z1"/>
    <w:next w:val="149"/>
    <w:rPr>
      <w:rFonts w:ascii="Courier New" w:hAnsi="Courier New"/>
    </w:rPr>
  </w:style>
  <w:style w:type="character" w:styleId="150">
    <w:name w:val="WW8Num1z2"/>
    <w:next w:val="150"/>
    <w:rPr>
      <w:rFonts w:ascii="Wingdings" w:hAnsi="Wingdings"/>
    </w:rPr>
  </w:style>
  <w:style w:type="character" w:styleId="151">
    <w:name w:val="WW8Num2z0"/>
    <w:next w:val="151"/>
    <w:rPr>
      <w:rFonts w:ascii="Symbol" w:hAnsi="Symbol"/>
    </w:rPr>
  </w:style>
  <w:style w:type="character" w:styleId="152">
    <w:name w:val="WW8Num2z1"/>
    <w:next w:val="152"/>
    <w:rPr>
      <w:rFonts w:ascii="Courier New" w:hAnsi="Courier New"/>
    </w:rPr>
  </w:style>
  <w:style w:type="character" w:styleId="153">
    <w:name w:val="WW8Num2z2"/>
    <w:next w:val="153"/>
    <w:rPr>
      <w:rFonts w:ascii="Wingdings" w:hAnsi="Wingdings"/>
    </w:rPr>
  </w:style>
  <w:style w:type="character" w:styleId="154">
    <w:name w:val="Default Paragraph Font1"/>
    <w:next w:val="154"/>
  </w:style>
  <w:style w:type="character" w:styleId="155">
    <w:name w:val="Hyperlink"/>
    <w:next w:val="155"/>
    <w:rPr>
      <w:color w:val="0000FF"/>
      <w:u w:val="single"/>
    </w:rPr>
  </w:style>
  <w:style w:type="character" w:styleId="156">
    <w:name w:val="Balloon Text Char"/>
    <w:next w:val="156"/>
    <w:rPr>
      <w:rFonts w:ascii="Tahoma" w:hAnsi="Tahoma"/>
      <w:sz w:val="16"/>
      <w:szCs w:val="16"/>
    </w:rPr>
  </w:style>
  <w:style w:type="character" w:styleId="157">
    <w:name w:val="Header Char"/>
    <w:basedOn w:val="154"/>
    <w:next w:val="157"/>
  </w:style>
  <w:style w:type="character" w:styleId="158">
    <w:name w:val="Footer Char"/>
    <w:basedOn w:val="154"/>
    <w:next w:val="158"/>
  </w:style>
  <w:style w:type="character" w:styleId="159">
    <w:name w:val="Resumo Char"/>
    <w:next w:val="159"/>
    <w:rPr>
      <w:rFonts w:ascii="Arial" w:hAnsi="Arial"/>
      <w:bCs/>
    </w:rPr>
  </w:style>
  <w:style w:type="character" w:styleId="160">
    <w:name w:val="Divisão Artigo Char"/>
    <w:next w:val="160"/>
    <w:rPr>
      <w:rFonts w:ascii="Arial" w:hAnsi="Arial"/>
      <w:b/>
      <w:bCs/>
      <w:sz w:val="28"/>
      <w:szCs w:val="24"/>
    </w:rPr>
  </w:style>
  <w:style w:type="character" w:styleId="161">
    <w:name w:val="Título Artigo Char"/>
    <w:next w:val="161"/>
    <w:rPr>
      <w:rFonts w:ascii="Arial" w:hAnsi="Arial"/>
      <w:b/>
      <w:bCs/>
      <w:sz w:val="28"/>
      <w:szCs w:val="24"/>
    </w:rPr>
  </w:style>
  <w:style w:type="character" w:styleId="162">
    <w:name w:val="Texto normal Char"/>
    <w:next w:val="162"/>
    <w:rPr>
      <w:rFonts w:ascii="Arial" w:hAnsi="Arial"/>
      <w:sz w:val="24"/>
      <w:szCs w:val="24"/>
    </w:rPr>
  </w:style>
  <w:style w:type="character" w:styleId="163">
    <w:name w:val="Subdivisão Artigo Char"/>
    <w:next w:val="163"/>
    <w:rPr>
      <w:rFonts w:ascii="Arial" w:hAnsi="Arial"/>
      <w:b/>
      <w:sz w:val="24"/>
      <w:szCs w:val="24"/>
    </w:rPr>
  </w:style>
  <w:style w:type="character" w:styleId="164">
    <w:name w:val="Citação Longa Char"/>
    <w:next w:val="164"/>
    <w:rPr>
      <w:rFonts w:ascii="Arial" w:hAnsi="Arial"/>
    </w:rPr>
  </w:style>
  <w:style w:type="character" w:styleId="165">
    <w:name w:val="Legendas Char"/>
    <w:next w:val="165"/>
    <w:rPr>
      <w:rFonts w:ascii="Arial" w:hAnsi="Arial"/>
      <w:b/>
    </w:rPr>
  </w:style>
  <w:style w:type="character" w:styleId="166">
    <w:name w:val="Footnote Text Char"/>
    <w:next w:val="166"/>
  </w:style>
  <w:style w:type="character" w:styleId="167">
    <w:name w:val="Caracteres de nota de rodapé"/>
    <w:next w:val="167"/>
    <w:rPr>
      <w:vertAlign w:val="superscript"/>
    </w:rPr>
  </w:style>
  <w:style w:type="character" w:styleId="168">
    <w:name w:val="Fonte parág. padrão1"/>
    <w:next w:val="168"/>
  </w:style>
  <w:style w:type="character" w:styleId="169">
    <w:name w:val="HTML Preformatted Char"/>
    <w:next w:val="169"/>
    <w:rPr>
      <w:rFonts w:ascii="Courier New" w:hAnsi="Courier New" w:eastAsia="Times New Roman"/>
    </w:rPr>
  </w:style>
  <w:style w:type="character" w:styleId="170">
    <w:name w:val="Ref. de nota de rodapé"/>
    <w:next w:val="170"/>
    <w:rPr>
      <w:vertAlign w:val="superscript"/>
    </w:rPr>
  </w:style>
  <w:style w:type="character" w:styleId="171">
    <w:name w:val="Caracteres de nota de fim"/>
    <w:next w:val="171"/>
    <w:rPr>
      <w:vertAlign w:val="superscript"/>
    </w:rPr>
  </w:style>
  <w:style w:type="character" w:styleId="172">
    <w:name w:val="WW-Caracteres de nota de fim"/>
    <w:next w:val="172"/>
  </w:style>
  <w:style w:type="character" w:styleId="173">
    <w:name w:val="Texto de balão Char"/>
    <w:next w:val="173"/>
    <w:rPr>
      <w:rFonts w:ascii="Tahoma" w:hAnsi="Tahoma" w:eastAsia="Calibri"/>
      <w:sz w:val="16"/>
      <w:szCs w:val="16"/>
      <w:lang w:eastAsia="zh-CN"/>
    </w:rPr>
  </w:style>
  <w:style w:type="character" w:styleId="174">
    <w:name w:val="Ref. de comentário"/>
    <w:next w:val="174"/>
    <w:rPr>
      <w:sz w:val="16"/>
      <w:szCs w:val="16"/>
    </w:rPr>
  </w:style>
  <w:style w:type="character" w:styleId="175">
    <w:name w:val="Texto de comentário Char"/>
    <w:next w:val="175"/>
    <w:rPr>
      <w:rFonts w:ascii="Calibri" w:hAnsi="Calibri" w:eastAsia="Calibri"/>
      <w:lang w:eastAsia="zh-CN"/>
    </w:rPr>
  </w:style>
  <w:style w:type="character" w:styleId="176">
    <w:name w:val="Assunto do comentário Char"/>
    <w:next w:val="176"/>
    <w:rPr>
      <w:rFonts w:ascii="Calibri" w:hAnsi="Calibri" w:eastAsia="Calibri"/>
      <w:b/>
      <w:bCs/>
      <w:lang w:eastAsia="zh-CN"/>
    </w:rPr>
  </w:style>
  <w:style w:type="character" w:styleId="177">
    <w:name w:val="apple-converted-space"/>
    <w:next w:val="177"/>
  </w:style>
  <w:style w:type="character" w:styleId="178">
    <w:name w:val="Strong"/>
    <w:next w:val="178"/>
    <w:rPr>
      <w:b/>
      <w:bCs/>
    </w:rPr>
  </w:style>
  <w:style w:type="character" w:styleId="179">
    <w:name w:val="footnote reference"/>
    <w:next w:val="179"/>
    <w:rPr>
      <w:vertAlign w:val="superscript"/>
    </w:rPr>
  </w:style>
  <w:style w:type="character" w:styleId="180">
    <w:name w:val="Endnote Reference"/>
    <w:next w:val="180"/>
    <w:rPr>
      <w:vertAlign w:val="superscript"/>
    </w:rPr>
  </w:style>
  <w:style w:type="paragraph" w:styleId="181">
    <w:name w:val="Título"/>
    <w:basedOn w:val="143"/>
    <w:next w:val="182"/>
    <w:rPr>
      <w:rFonts w:ascii="Liberation Sans" w:hAnsi="Liberation Sans" w:eastAsia="Microsoft YaHei"/>
      <w:sz w:val="28"/>
      <w:szCs w:val="28"/>
    </w:rPr>
    <w:pPr>
      <w:keepNext/>
      <w:spacing w:after="120" w:before="240"/>
    </w:pPr>
  </w:style>
  <w:style w:type="paragraph" w:styleId="182">
    <w:name w:val="Body Text"/>
    <w:basedOn w:val="143"/>
    <w:next w:val="182"/>
    <w:pPr>
      <w:spacing w:lineRule="auto" w:line="276" w:after="140" w:before="0"/>
    </w:pPr>
  </w:style>
  <w:style w:type="paragraph" w:styleId="183">
    <w:name w:val="List"/>
    <w:basedOn w:val="182"/>
    <w:next w:val="183"/>
  </w:style>
  <w:style w:type="paragraph" w:styleId="184">
    <w:name w:val="Caption"/>
    <w:basedOn w:val="143"/>
    <w:next w:val="184"/>
    <w:rPr>
      <w:i/>
      <w:iCs/>
      <w:sz w:val="24"/>
      <w:szCs w:val="24"/>
    </w:rPr>
    <w:pPr>
      <w:spacing w:after="120" w:before="120"/>
    </w:pPr>
  </w:style>
  <w:style w:type="paragraph" w:styleId="185">
    <w:name w:val="Índice"/>
    <w:basedOn w:val="143"/>
    <w:next w:val="185"/>
  </w:style>
  <w:style w:type="paragraph" w:styleId="186">
    <w:name w:val="Título1"/>
    <w:basedOn w:val="143"/>
    <w:next w:val="182"/>
    <w:rPr>
      <w:rFonts w:ascii="Liberation Sans" w:hAnsi="Liberation Sans" w:eastAsia="Microsoft YaHei"/>
      <w:sz w:val="28"/>
      <w:szCs w:val="28"/>
    </w:rPr>
    <w:pPr>
      <w:keepNext/>
      <w:spacing w:after="120" w:before="240"/>
    </w:pPr>
  </w:style>
  <w:style w:type="paragraph" w:styleId="187">
    <w:name w:val="Balloon Text"/>
    <w:basedOn w:val="143"/>
    <w:next w:val="187"/>
    <w:rPr>
      <w:rFonts w:ascii="Tahoma" w:hAnsi="Tahoma"/>
      <w:sz w:val="16"/>
      <w:szCs w:val="16"/>
      <w:lang w:val="en-US"/>
    </w:rPr>
    <w:pPr>
      <w:spacing w:lineRule="auto" w:line="240" w:after="0" w:before="0"/>
    </w:pPr>
  </w:style>
  <w:style w:type="paragraph" w:styleId="188">
    <w:name w:val="Header"/>
    <w:basedOn w:val="143"/>
    <w:next w:val="188"/>
    <w:pPr>
      <w:spacing w:lineRule="auto" w:line="240" w:after="0" w:before="0"/>
      <w:tabs>
        <w:tab w:val="center" w:pos="4252"/>
        <w:tab w:val="right" w:pos="8504"/>
      </w:tabs>
    </w:pPr>
  </w:style>
  <w:style w:type="paragraph" w:styleId="189">
    <w:name w:val="Footer"/>
    <w:basedOn w:val="143"/>
    <w:next w:val="189"/>
    <w:pPr>
      <w:spacing w:lineRule="auto" w:line="240" w:after="0" w:before="0"/>
      <w:tabs>
        <w:tab w:val="center" w:pos="4252"/>
        <w:tab w:val="right" w:pos="8504"/>
      </w:tabs>
    </w:pPr>
  </w:style>
  <w:style w:type="paragraph" w:styleId="190">
    <w:name w:val="Normal (Web)"/>
    <w:basedOn w:val="143"/>
    <w:next w:val="190"/>
    <w:rPr>
      <w:rFonts w:ascii="Tahoma" w:hAnsi="Tahoma" w:eastAsia="Times New Roman"/>
      <w:sz w:val="24"/>
      <w:szCs w:val="24"/>
    </w:rPr>
    <w:pPr>
      <w:spacing w:lineRule="auto" w:line="240" w:after="280" w:before="280"/>
    </w:pPr>
  </w:style>
  <w:style w:type="paragraph" w:styleId="191">
    <w:name w:val="Resumo"/>
    <w:basedOn w:val="143"/>
    <w:next w:val="191"/>
    <w:rPr>
      <w:rFonts w:ascii="Arial" w:hAnsi="Arial"/>
      <w:bCs/>
      <w:sz w:val="20"/>
      <w:szCs w:val="20"/>
      <w:lang w:val="en-US"/>
    </w:rPr>
    <w:pPr>
      <w:jc w:val="both"/>
      <w:spacing w:lineRule="auto" w:line="240" w:after="0" w:before="0"/>
    </w:pPr>
  </w:style>
  <w:style w:type="paragraph" w:styleId="192">
    <w:name w:val="Divisão Artigo"/>
    <w:basedOn w:val="143"/>
    <w:next w:val="192"/>
    <w:rPr>
      <w:rFonts w:ascii="Arial" w:hAnsi="Arial"/>
      <w:b/>
      <w:bCs/>
      <w:sz w:val="28"/>
      <w:szCs w:val="24"/>
      <w:lang w:val="en-US"/>
    </w:rPr>
    <w:pPr>
      <w:spacing w:lineRule="auto" w:line="240" w:after="0" w:before="0"/>
    </w:pPr>
  </w:style>
  <w:style w:type="paragraph" w:styleId="193">
    <w:name w:val="Título Artigo"/>
    <w:basedOn w:val="143"/>
    <w:next w:val="193"/>
    <w:rPr>
      <w:rFonts w:ascii="Arial" w:hAnsi="Arial"/>
      <w:b/>
      <w:bCs/>
      <w:sz w:val="28"/>
      <w:szCs w:val="24"/>
      <w:lang w:val="en-US"/>
    </w:rPr>
    <w:pPr>
      <w:jc w:val="center"/>
      <w:spacing w:lineRule="auto" w:line="240" w:after="0" w:before="0"/>
    </w:pPr>
  </w:style>
  <w:style w:type="paragraph" w:styleId="194">
    <w:name w:val="Texto normal"/>
    <w:basedOn w:val="143"/>
    <w:next w:val="194"/>
    <w:rPr>
      <w:rFonts w:ascii="Arial" w:hAnsi="Arial"/>
      <w:sz w:val="24"/>
      <w:szCs w:val="24"/>
      <w:lang w:val="en-US"/>
    </w:rPr>
    <w:pPr>
      <w:jc w:val="both"/>
      <w:spacing w:lineRule="auto" w:line="360" w:after="0" w:before="0"/>
    </w:pPr>
  </w:style>
  <w:style w:type="paragraph" w:styleId="195">
    <w:name w:val="Subdivisão Artigo"/>
    <w:basedOn w:val="143"/>
    <w:next w:val="195"/>
    <w:rPr>
      <w:rFonts w:ascii="Arial" w:hAnsi="Arial"/>
      <w:b/>
      <w:sz w:val="24"/>
      <w:szCs w:val="24"/>
      <w:lang w:val="en-US"/>
    </w:rPr>
    <w:pPr>
      <w:jc w:val="both"/>
      <w:spacing w:lineRule="auto" w:line="360" w:after="0" w:before="0"/>
    </w:pPr>
  </w:style>
  <w:style w:type="paragraph" w:styleId="196">
    <w:name w:val="Citação Longa"/>
    <w:basedOn w:val="143"/>
    <w:next w:val="196"/>
    <w:rPr>
      <w:rFonts w:ascii="Arial" w:hAnsi="Arial"/>
      <w:sz w:val="20"/>
      <w:szCs w:val="20"/>
      <w:lang w:val="en-US"/>
    </w:rPr>
    <w:pPr>
      <w:ind w:left="2268" w:right="0" w:hanging="0"/>
      <w:jc w:val="both"/>
      <w:spacing w:lineRule="auto" w:line="240" w:after="0" w:before="0"/>
    </w:pPr>
  </w:style>
  <w:style w:type="paragraph" w:styleId="197">
    <w:name w:val="Legendas"/>
    <w:basedOn w:val="143"/>
    <w:next w:val="197"/>
    <w:rPr>
      <w:rFonts w:ascii="Arial" w:hAnsi="Arial"/>
      <w:b/>
      <w:sz w:val="20"/>
      <w:szCs w:val="20"/>
      <w:lang w:val="en-US"/>
    </w:rPr>
    <w:pPr>
      <w:ind w:left="-141" w:right="0" w:hanging="0"/>
      <w:jc w:val="both"/>
      <w:spacing w:lineRule="auto" w:line="240" w:after="0" w:before="0"/>
    </w:pPr>
  </w:style>
  <w:style w:type="paragraph" w:styleId="198">
    <w:name w:val="footnote text"/>
    <w:basedOn w:val="143"/>
    <w:next w:val="198"/>
    <w:rPr>
      <w:sz w:val="20"/>
      <w:szCs w:val="20"/>
      <w:lang w:val="en-US"/>
    </w:rPr>
  </w:style>
  <w:style w:type="paragraph" w:styleId="199">
    <w:name w:val="HTML Preformatted"/>
    <w:basedOn w:val="143"/>
    <w:next w:val="199"/>
    <w:rPr>
      <w:rFonts w:ascii="Courier New" w:hAnsi="Courier New" w:eastAsia="Times New Roman"/>
      <w:sz w:val="20"/>
      <w:szCs w:val="20"/>
    </w:rPr>
    <w:pPr>
      <w:spacing w:lineRule="auto" w:line="240" w:after="0" w:befor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00">
    <w:name w:val="Standard"/>
    <w:next w:val="200"/>
    <w:rPr>
      <w:rFonts w:ascii="Calibri" w:hAnsi="Calibri" w:eastAsia="Calibri"/>
      <w:sz w:val="22"/>
      <w:szCs w:val="22"/>
      <w:lang w:val="pt-BR" w:bidi="ar-SA" w:eastAsia="zh-CN"/>
    </w:rPr>
    <w:pPr>
      <w:spacing w:lineRule="auto" w:line="252" w:after="160"/>
    </w:pPr>
  </w:style>
  <w:style w:type="paragraph" w:styleId="201">
    <w:name w:val="Texto de balão"/>
    <w:basedOn w:val="143"/>
    <w:next w:val="201"/>
    <w:rPr>
      <w:rFonts w:ascii="Tahoma" w:hAnsi="Tahoma"/>
      <w:sz w:val="16"/>
      <w:szCs w:val="16"/>
    </w:rPr>
    <w:pPr>
      <w:spacing w:lineRule="auto" w:line="240" w:after="0" w:before="0"/>
    </w:pPr>
  </w:style>
  <w:style w:type="paragraph" w:styleId="202">
    <w:name w:val="Texto de comentário"/>
    <w:basedOn w:val="143"/>
    <w:next w:val="202"/>
    <w:rPr>
      <w:sz w:val="20"/>
      <w:szCs w:val="20"/>
    </w:rPr>
  </w:style>
  <w:style w:type="paragraph" w:styleId="203">
    <w:name w:val="Assunto do comentário"/>
    <w:basedOn w:val="202"/>
    <w:next w:val="202"/>
    <w:rPr>
      <w:b/>
      <w:bCs/>
    </w:rPr>
  </w:style>
  <w:style w:type="character" w:styleId="204">
    <w:name w:val="Emphasis"/>
    <w:next w:val="204"/>
    <w:rPr>
      <w:i/>
      <w:iCs/>
    </w:rPr>
  </w:style>
  <w:style w:type="character" w:styleId="1219" w:default="1">
    <w:name w:val="GenStyleDefChar"/>
  </w:style>
  <w:style w:type="numbering" w:styleId="1220" w:default="1">
    <w:name w:val="GenStyleDefNum"/>
  </w:style>
  <w:style w:type="paragraph" w:styleId="1221" w:default="1">
    <w:name w:val="GenStyleDefPar"/>
  </w:style>
  <w:style w:type="table" w:styleId="1222" w:default="1">
    <w:name w:val="GenStyleDefTable"/>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Application>
  <AppVersion>5.0</AppVers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